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6CF" w:rsidRPr="00ED62F6" w:rsidRDefault="00963CD7" w:rsidP="009171D9">
      <w:pPr>
        <w:spacing w:line="240" w:lineRule="auto"/>
        <w:jc w:val="both"/>
        <w:rPr>
          <w:rFonts w:ascii="Times New Roman" w:hAnsi="Times New Roman" w:cs="Times New Roman"/>
          <w:b/>
          <w:sz w:val="24"/>
          <w:szCs w:val="24"/>
        </w:rPr>
      </w:pPr>
      <w:r w:rsidRPr="00ED62F6">
        <w:rPr>
          <w:rFonts w:ascii="Times New Roman" w:hAnsi="Times New Roman" w:cs="Times New Roman"/>
          <w:b/>
          <w:sz w:val="24"/>
          <w:szCs w:val="24"/>
        </w:rPr>
        <w:t xml:space="preserve">Cass. civ. Sez. </w:t>
      </w:r>
      <w:r w:rsidR="0008709C" w:rsidRPr="00ED62F6">
        <w:rPr>
          <w:rFonts w:ascii="Times New Roman" w:hAnsi="Times New Roman" w:cs="Times New Roman"/>
          <w:b/>
          <w:sz w:val="24"/>
          <w:szCs w:val="24"/>
        </w:rPr>
        <w:t>lavoro</w:t>
      </w:r>
      <w:r w:rsidRPr="00ED62F6">
        <w:rPr>
          <w:rFonts w:ascii="Times New Roman" w:hAnsi="Times New Roman" w:cs="Times New Roman"/>
          <w:b/>
          <w:sz w:val="24"/>
          <w:szCs w:val="24"/>
        </w:rPr>
        <w:t xml:space="preserve">, </w:t>
      </w:r>
      <w:r w:rsidR="0008709C" w:rsidRPr="00ED62F6">
        <w:rPr>
          <w:rFonts w:ascii="Times New Roman" w:hAnsi="Times New Roman" w:cs="Times New Roman"/>
          <w:b/>
          <w:sz w:val="24"/>
          <w:szCs w:val="24"/>
        </w:rPr>
        <w:t>11</w:t>
      </w:r>
      <w:r w:rsidRPr="00ED62F6">
        <w:rPr>
          <w:rFonts w:ascii="Times New Roman" w:hAnsi="Times New Roman" w:cs="Times New Roman"/>
          <w:b/>
          <w:sz w:val="24"/>
          <w:szCs w:val="24"/>
        </w:rPr>
        <w:t>/0</w:t>
      </w:r>
      <w:r w:rsidR="0008709C" w:rsidRPr="00ED62F6">
        <w:rPr>
          <w:rFonts w:ascii="Times New Roman" w:hAnsi="Times New Roman" w:cs="Times New Roman"/>
          <w:b/>
          <w:sz w:val="24"/>
          <w:szCs w:val="24"/>
        </w:rPr>
        <w:t>7</w:t>
      </w:r>
      <w:r w:rsidRPr="00ED62F6">
        <w:rPr>
          <w:rFonts w:ascii="Times New Roman" w:hAnsi="Times New Roman" w:cs="Times New Roman"/>
          <w:b/>
          <w:sz w:val="24"/>
          <w:szCs w:val="24"/>
        </w:rPr>
        <w:t>/201</w:t>
      </w:r>
      <w:r w:rsidR="0008709C" w:rsidRPr="00ED62F6">
        <w:rPr>
          <w:rFonts w:ascii="Times New Roman" w:hAnsi="Times New Roman" w:cs="Times New Roman"/>
          <w:b/>
          <w:sz w:val="24"/>
          <w:szCs w:val="24"/>
        </w:rPr>
        <w:t>8</w:t>
      </w:r>
      <w:r w:rsidRPr="00ED62F6">
        <w:rPr>
          <w:rFonts w:ascii="Times New Roman" w:hAnsi="Times New Roman" w:cs="Times New Roman"/>
          <w:b/>
          <w:sz w:val="24"/>
          <w:szCs w:val="24"/>
        </w:rPr>
        <w:t xml:space="preserve">, n. </w:t>
      </w:r>
      <w:r w:rsidR="0062147C" w:rsidRPr="00ED62F6">
        <w:rPr>
          <w:rFonts w:ascii="Times New Roman" w:hAnsi="Times New Roman" w:cs="Times New Roman"/>
          <w:b/>
          <w:sz w:val="24"/>
          <w:szCs w:val="24"/>
        </w:rPr>
        <w:t>18253</w:t>
      </w:r>
    </w:p>
    <w:p w:rsidR="00FF4F23" w:rsidRPr="00ED62F6" w:rsidRDefault="0062147C" w:rsidP="009171D9">
      <w:pPr>
        <w:spacing w:line="240" w:lineRule="auto"/>
        <w:jc w:val="both"/>
        <w:rPr>
          <w:rFonts w:ascii="Times New Roman" w:hAnsi="Times New Roman" w:cs="Times New Roman"/>
          <w:i/>
          <w:sz w:val="24"/>
          <w:szCs w:val="24"/>
        </w:rPr>
      </w:pPr>
      <w:r w:rsidRPr="00ED62F6">
        <w:rPr>
          <w:rFonts w:ascii="Times New Roman" w:hAnsi="Times New Roman" w:cs="Times New Roman"/>
          <w:i/>
          <w:sz w:val="24"/>
          <w:szCs w:val="24"/>
        </w:rPr>
        <w:t>L’elemento essenziale di differenziazione tra lavoro autonomo e lavoro subordinato consiste nel vincolo di soggezione del lavoratore al potere direttivo, organizzativo e disciplinare del datore di lavoro, da ricercare in base ad un accertamento esclusivamente compiuto sulle concrete modalità di svolgimento della prestazione lavorativa. In particolare, mentre la subordinazione implica l’inserimento del lavoratore nella organizzazione imprenditoriale del datore di lavoro mediante la messa a disposizione, a suo favore, delle proprie energie lavorative (</w:t>
      </w:r>
      <w:proofErr w:type="spellStart"/>
      <w:r w:rsidRPr="00ED62F6">
        <w:rPr>
          <w:rFonts w:ascii="Times New Roman" w:hAnsi="Times New Roman" w:cs="Times New Roman"/>
          <w:sz w:val="24"/>
          <w:szCs w:val="24"/>
        </w:rPr>
        <w:t>operae</w:t>
      </w:r>
      <w:proofErr w:type="spellEnd"/>
      <w:r w:rsidRPr="00ED62F6">
        <w:rPr>
          <w:rFonts w:ascii="Times New Roman" w:hAnsi="Times New Roman" w:cs="Times New Roman"/>
          <w:i/>
          <w:sz w:val="24"/>
          <w:szCs w:val="24"/>
        </w:rPr>
        <w:t>) ed il contestuale assoggettamento al potere direttivo di costui, nel lavoro autonomo l</w:t>
      </w:r>
      <w:r w:rsidR="00FF0F19">
        <w:rPr>
          <w:rFonts w:ascii="Times New Roman" w:hAnsi="Times New Roman" w:cs="Times New Roman"/>
          <w:i/>
          <w:sz w:val="24"/>
          <w:szCs w:val="24"/>
        </w:rPr>
        <w:t>’</w:t>
      </w:r>
      <w:r w:rsidRPr="00ED62F6">
        <w:rPr>
          <w:rFonts w:ascii="Times New Roman" w:hAnsi="Times New Roman" w:cs="Times New Roman"/>
          <w:i/>
          <w:sz w:val="24"/>
          <w:szCs w:val="24"/>
        </w:rPr>
        <w:t>oggetto della prestazione è costituito dal risultato dell</w:t>
      </w:r>
      <w:r w:rsidR="00FF0F19">
        <w:rPr>
          <w:rFonts w:ascii="Times New Roman" w:hAnsi="Times New Roman" w:cs="Times New Roman"/>
          <w:i/>
          <w:sz w:val="24"/>
          <w:szCs w:val="24"/>
        </w:rPr>
        <w:t>’</w:t>
      </w:r>
      <w:r w:rsidRPr="00ED62F6">
        <w:rPr>
          <w:rFonts w:ascii="Times New Roman" w:hAnsi="Times New Roman" w:cs="Times New Roman"/>
          <w:i/>
          <w:sz w:val="24"/>
          <w:szCs w:val="24"/>
        </w:rPr>
        <w:t>attività (</w:t>
      </w:r>
      <w:r w:rsidRPr="00ED62F6">
        <w:rPr>
          <w:rFonts w:ascii="Times New Roman" w:hAnsi="Times New Roman" w:cs="Times New Roman"/>
          <w:sz w:val="24"/>
          <w:szCs w:val="24"/>
        </w:rPr>
        <w:t>opus</w:t>
      </w:r>
      <w:r w:rsidRPr="00ED62F6">
        <w:rPr>
          <w:rFonts w:ascii="Times New Roman" w:hAnsi="Times New Roman" w:cs="Times New Roman"/>
          <w:i/>
          <w:sz w:val="24"/>
          <w:szCs w:val="24"/>
        </w:rPr>
        <w:t>).</w:t>
      </w:r>
    </w:p>
    <w:p w:rsidR="000636CF" w:rsidRPr="00ED62F6" w:rsidRDefault="00963CD7" w:rsidP="009171D9">
      <w:pPr>
        <w:spacing w:line="240" w:lineRule="auto"/>
        <w:jc w:val="both"/>
        <w:rPr>
          <w:rFonts w:ascii="Times New Roman" w:hAnsi="Times New Roman" w:cs="Times New Roman"/>
          <w:i/>
          <w:sz w:val="24"/>
          <w:szCs w:val="24"/>
        </w:rPr>
      </w:pPr>
      <w:r w:rsidRPr="00ED62F6">
        <w:rPr>
          <w:rFonts w:ascii="Times New Roman" w:hAnsi="Times New Roman" w:cs="Times New Roman"/>
          <w:i/>
          <w:sz w:val="24"/>
          <w:szCs w:val="24"/>
        </w:rPr>
        <w:t>Omissis</w:t>
      </w:r>
    </w:p>
    <w:p w:rsidR="000636CF" w:rsidRPr="00ED62F6" w:rsidRDefault="000636CF"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Svolgimento del processo</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 xml:space="preserve">La Corte territoriale di Genova, con sentenza depositata il 13/3/2012, respingeva il gravame interposto da B.P., nei confronti del Consorzio ligure Magazzini Expert a r.l. (COLIMEX), avverso la sentenza del Tribunale della stessa sede emessa il 14/3/2011, con la quale era stata rigettata la domanda del B. diretta al riconoscimento della natura subordinata del rapporto di lavoro intercorso tra le parti, </w:t>
      </w:r>
      <w:bookmarkStart w:id="0" w:name="_Hlk6318617"/>
      <w:r w:rsidRPr="00ED62F6">
        <w:rPr>
          <w:rFonts w:ascii="Times New Roman" w:hAnsi="Times New Roman" w:cs="Times New Roman"/>
          <w:sz w:val="24"/>
          <w:szCs w:val="24"/>
        </w:rPr>
        <w:t>alla condanna della parte datoriale al pagamento delle relative differenze retributive, nonch</w:t>
      </w:r>
      <w:r w:rsidR="00E617A8" w:rsidRPr="00ED62F6">
        <w:rPr>
          <w:rFonts w:ascii="Times New Roman" w:hAnsi="Times New Roman" w:cs="Times New Roman"/>
          <w:sz w:val="24"/>
          <w:szCs w:val="24"/>
        </w:rPr>
        <w:t>é</w:t>
      </w:r>
      <w:r w:rsidRPr="00ED62F6">
        <w:rPr>
          <w:rFonts w:ascii="Times New Roman" w:hAnsi="Times New Roman" w:cs="Times New Roman"/>
          <w:sz w:val="24"/>
          <w:szCs w:val="24"/>
        </w:rPr>
        <w:t xml:space="preserve"> all</w:t>
      </w:r>
      <w:r w:rsidR="00E617A8" w:rsidRPr="00ED62F6">
        <w:rPr>
          <w:rFonts w:ascii="Times New Roman" w:hAnsi="Times New Roman" w:cs="Times New Roman"/>
          <w:sz w:val="24"/>
          <w:szCs w:val="24"/>
        </w:rPr>
        <w:t>’</w:t>
      </w:r>
      <w:r w:rsidRPr="00ED62F6">
        <w:rPr>
          <w:rFonts w:ascii="Times New Roman" w:hAnsi="Times New Roman" w:cs="Times New Roman"/>
          <w:sz w:val="24"/>
          <w:szCs w:val="24"/>
        </w:rPr>
        <w:t>accantonamento del trattamento di fine rapporto</w:t>
      </w:r>
      <w:bookmarkEnd w:id="0"/>
      <w:r w:rsidRPr="00ED62F6">
        <w:rPr>
          <w:rFonts w:ascii="Times New Roman" w:hAnsi="Times New Roman" w:cs="Times New Roman"/>
          <w:sz w:val="24"/>
          <w:szCs w:val="24"/>
        </w:rPr>
        <w:t>.</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Per la cassazione della pronunzia ricorre B.P. articolando cinque motivi.</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 xml:space="preserve">Il Consorzio ligure Magazzini Expert a r.l. resiste con controricorso. </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Motivi della decisione</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1. Con il primo motivo si deduce la omessa applicazione dell</w:t>
      </w:r>
      <w:r w:rsidR="00E617A8" w:rsidRPr="00ED62F6">
        <w:rPr>
          <w:rFonts w:ascii="Times New Roman" w:hAnsi="Times New Roman" w:cs="Times New Roman"/>
          <w:sz w:val="24"/>
          <w:szCs w:val="24"/>
        </w:rPr>
        <w:t>’</w:t>
      </w:r>
      <w:r w:rsidRPr="00ED62F6">
        <w:rPr>
          <w:rFonts w:ascii="Times New Roman" w:hAnsi="Times New Roman" w:cs="Times New Roman"/>
          <w:sz w:val="24"/>
          <w:szCs w:val="24"/>
        </w:rPr>
        <w:t>art. 421 c.p.c., in riferimento all</w:t>
      </w:r>
      <w:r w:rsidR="00E617A8" w:rsidRPr="00ED62F6">
        <w:rPr>
          <w:rFonts w:ascii="Times New Roman" w:hAnsi="Times New Roman" w:cs="Times New Roman"/>
          <w:sz w:val="24"/>
          <w:szCs w:val="24"/>
        </w:rPr>
        <w:t>’</w:t>
      </w:r>
      <w:r w:rsidRPr="00ED62F6">
        <w:rPr>
          <w:rFonts w:ascii="Times New Roman" w:hAnsi="Times New Roman" w:cs="Times New Roman"/>
          <w:sz w:val="24"/>
          <w:szCs w:val="24"/>
        </w:rPr>
        <w:t>art. 360 c.p.c., comma 1, n. 4, ed in particolare, si lamenta che i giudici di entrambi i gradi di merito abbiano affermato che il lavoratore avrebbe solo allegato e chiesto di provare di ricevere direttive e di dovere rispondere del suo operato al presidente della COLIMEX, senza specificare in che cosa consistessero tali direttive ed in che modo dovesse rispondere al presidente; che la Corte di merito avrebbe omesso, senza alcuna motivazione, di esercitare il proprio potere-dovere relativamente all</w:t>
      </w:r>
      <w:r w:rsidR="00A70D7B">
        <w:rPr>
          <w:rFonts w:ascii="Times New Roman" w:hAnsi="Times New Roman" w:cs="Times New Roman"/>
          <w:sz w:val="24"/>
          <w:szCs w:val="24"/>
        </w:rPr>
        <w:t>’</w:t>
      </w:r>
      <w:r w:rsidRPr="00ED62F6">
        <w:rPr>
          <w:rFonts w:ascii="Times New Roman" w:hAnsi="Times New Roman" w:cs="Times New Roman"/>
          <w:sz w:val="24"/>
          <w:szCs w:val="24"/>
        </w:rPr>
        <w:t>ammissione delle prove, pervenendo alla decisione della causa sulla scorta di mere presunzioni, senza tenere nella dovuta considerazione le circostanze e la documentazione poste dal lavoratore a fondamento delle proprie domande.</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2. Con il secondo motivo si denunzia, in riferimento all</w:t>
      </w:r>
      <w:r w:rsidR="00E617A8" w:rsidRPr="00ED62F6">
        <w:rPr>
          <w:rFonts w:ascii="Times New Roman" w:hAnsi="Times New Roman" w:cs="Times New Roman"/>
          <w:sz w:val="24"/>
          <w:szCs w:val="24"/>
        </w:rPr>
        <w:t>’</w:t>
      </w:r>
      <w:r w:rsidRPr="00ED62F6">
        <w:rPr>
          <w:rFonts w:ascii="Times New Roman" w:hAnsi="Times New Roman" w:cs="Times New Roman"/>
          <w:sz w:val="24"/>
          <w:szCs w:val="24"/>
        </w:rPr>
        <w:t xml:space="preserve">art. 360 c.p.c., comma 1, </w:t>
      </w:r>
      <w:proofErr w:type="spellStart"/>
      <w:r w:rsidRPr="00ED62F6">
        <w:rPr>
          <w:rFonts w:ascii="Times New Roman" w:hAnsi="Times New Roman" w:cs="Times New Roman"/>
          <w:sz w:val="24"/>
          <w:szCs w:val="24"/>
        </w:rPr>
        <w:t>nn</w:t>
      </w:r>
      <w:proofErr w:type="spellEnd"/>
      <w:r w:rsidRPr="00ED62F6">
        <w:rPr>
          <w:rFonts w:ascii="Times New Roman" w:hAnsi="Times New Roman" w:cs="Times New Roman"/>
          <w:sz w:val="24"/>
          <w:szCs w:val="24"/>
        </w:rPr>
        <w:t>. 3 e 5, la nullità della sentenza e/o del procedimento e la omessa, insufficiente o contraddittoria motivazione in relazione agli artt. 115, 416 e 421 c.p.c., per erronea e/o mancata valutazione dei documenti precostituiti, nonch</w:t>
      </w:r>
      <w:r w:rsidR="00E617A8" w:rsidRPr="00ED62F6">
        <w:rPr>
          <w:rFonts w:ascii="Times New Roman" w:hAnsi="Times New Roman" w:cs="Times New Roman"/>
          <w:sz w:val="24"/>
          <w:szCs w:val="24"/>
        </w:rPr>
        <w:t>é</w:t>
      </w:r>
      <w:r w:rsidRPr="00ED62F6">
        <w:rPr>
          <w:rFonts w:ascii="Times New Roman" w:hAnsi="Times New Roman" w:cs="Times New Roman"/>
          <w:sz w:val="24"/>
          <w:szCs w:val="24"/>
        </w:rPr>
        <w:t xml:space="preserve"> la mancata ammissione delle istanze istruttorie in relazione all</w:t>
      </w:r>
      <w:r w:rsidR="00E617A8" w:rsidRPr="00ED62F6">
        <w:rPr>
          <w:rFonts w:ascii="Times New Roman" w:hAnsi="Times New Roman" w:cs="Times New Roman"/>
          <w:sz w:val="24"/>
          <w:szCs w:val="24"/>
        </w:rPr>
        <w:t>’</w:t>
      </w:r>
      <w:r w:rsidRPr="00ED62F6">
        <w:rPr>
          <w:rFonts w:ascii="Times New Roman" w:hAnsi="Times New Roman" w:cs="Times New Roman"/>
          <w:sz w:val="24"/>
          <w:szCs w:val="24"/>
        </w:rPr>
        <w:t xml:space="preserve">art. 2697 c.c., e si deduce che la sentenza della Corte di merito sarebbe nulla nel punto in cui conferma la sentenza di primo grado </w:t>
      </w:r>
      <w:r w:rsidR="00E617A8" w:rsidRPr="00ED62F6">
        <w:rPr>
          <w:rFonts w:ascii="Times New Roman" w:hAnsi="Times New Roman" w:cs="Times New Roman"/>
          <w:sz w:val="24"/>
          <w:szCs w:val="24"/>
        </w:rPr>
        <w:t>“</w:t>
      </w:r>
      <w:r w:rsidRPr="00ED62F6">
        <w:rPr>
          <w:rFonts w:ascii="Times New Roman" w:hAnsi="Times New Roman" w:cs="Times New Roman"/>
          <w:sz w:val="24"/>
          <w:szCs w:val="24"/>
        </w:rPr>
        <w:t>sia in relazione alla erronea valutazione delle prove costituite, sia in relazione alle ammissioni del Consorzio, sia con riguardo alla mancata contestazione dei fatti dedotti</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 e che, in violazione del disposto di cui all</w:t>
      </w:r>
      <w:r w:rsidR="00E62757">
        <w:rPr>
          <w:rFonts w:ascii="Times New Roman" w:hAnsi="Times New Roman" w:cs="Times New Roman"/>
          <w:sz w:val="24"/>
          <w:szCs w:val="24"/>
        </w:rPr>
        <w:t>’</w:t>
      </w:r>
      <w:r w:rsidRPr="00ED62F6">
        <w:rPr>
          <w:rFonts w:ascii="Times New Roman" w:hAnsi="Times New Roman" w:cs="Times New Roman"/>
          <w:sz w:val="24"/>
          <w:szCs w:val="24"/>
        </w:rPr>
        <w:t xml:space="preserve">art. 115 c.p.c. e art. 2697 c.c., i giudici di seconda istanza avrebbero </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disatteso la risultanza probatoria afferente le prove costituite</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3. Con il terzo mezzo di impugnazione si deduce, in riferimento all</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 xml:space="preserve">art. 360 c.p.c., comma 1, n. 5, la omessa, insufficiente o contraddittoria motivazione su un fatto controverso e decisivo per il giudizio e si assume che la sentenza oggetto del giudizio di legittimità </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sia del tutto carente dal punto di vista motivazionale rispetto alla presunta insussistenza di un rapporto di lavoro subordinato</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 perch</w:t>
      </w:r>
      <w:r w:rsidR="00A57CC1" w:rsidRPr="00ED62F6">
        <w:rPr>
          <w:rFonts w:ascii="Times New Roman" w:hAnsi="Times New Roman" w:cs="Times New Roman"/>
          <w:sz w:val="24"/>
          <w:szCs w:val="24"/>
        </w:rPr>
        <w:t>é</w:t>
      </w:r>
      <w:r w:rsidRPr="00ED62F6">
        <w:rPr>
          <w:rFonts w:ascii="Times New Roman" w:hAnsi="Times New Roman" w:cs="Times New Roman"/>
          <w:sz w:val="24"/>
          <w:szCs w:val="24"/>
        </w:rPr>
        <w:t xml:space="preserve"> non avrebbe tenuto conto del fatto che la società datrice di lavoro si sarebbe sempre limitata a contestare le domande di parte ricorrente affermando che l</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 xml:space="preserve">attività svolta dal B. sarebbe stata esercitata </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 xml:space="preserve">dapprima nella sua qualità di consulente esterno (dal 1997 al 2000) e successivamente di consigliere </w:t>
      </w:r>
      <w:r w:rsidRPr="00ED62F6">
        <w:rPr>
          <w:rFonts w:ascii="Times New Roman" w:hAnsi="Times New Roman" w:cs="Times New Roman"/>
          <w:sz w:val="24"/>
          <w:szCs w:val="24"/>
        </w:rPr>
        <w:lastRenderedPageBreak/>
        <w:t>delegato (dal 2000 al 2005)</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 xml:space="preserve"> e che lo stesso </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ha sempre dovuto relazionare solo ed esclusivamente al Consiglio di amministrazione</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4. Con il quarto mezzo di impugnazione si lamenta, in riferimento all</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art. 360 c.p.c., comma 1, n. 5, la omessa, insufficiente o contraddittoria motivazione su un fatto controverso e decisivo per il giudizio consistente nella mancata ammissione delle istanze istruttorie richieste dal ricorrente ed in particolare le prove testimoniali appositamente e specificamente dedotte dal ricorrente, tese alla prova della sussistenza degli elementi della subordinazione, da coordinarsi con le dichiarazioni aventi valore confessorio della controparte.</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5. Con il quinto motivo si denunzia, in riferimento all'art. 360 c.p.c., comma 1, n. 5, la omessa, insufficiente o contraddittoria motivazione in ordine alla condanna al pagamento delle spese; in particolare, si osserva che, nel caso di specie, le spese avrebbero dovuto essere almeno compensate a fronte della peculiarità della situazione, anche in considerazione della mancata ammissione delle prove dedotte in primo grado, che avrebbe comportato, a parere del ricorrente, la violazione del diritto di difesa.</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6. Il primo motivo non è meritevole di accoglimento.</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 xml:space="preserve">Ed infatti, se, da un lato, è principio consolidato alla stregua degli arresti giurisprudenziali della Corte di legittimità che </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è carattere tipico del rito del lavoro il contemperamento del principio dispositivo con le esigenze della ricerca della verità</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 xml:space="preserve"> - per la qual cosa, laddove le risultanze di causa offrano significativi dati di indagine ed il giudice reputi insufficienti le prove già acquisite </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non può limitarsi a fare meccanica applicazione della regola formale di giudizio fondata sull</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onere della prova, ma ha il potere-dovere di provvedere d</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ufficio agli atti istruttori sollecitati da tale materiale ed idonei a superare l</w:t>
      </w:r>
      <w:r w:rsidR="00A57CC1" w:rsidRPr="00ED62F6">
        <w:rPr>
          <w:rFonts w:ascii="Times New Roman" w:hAnsi="Times New Roman" w:cs="Times New Roman"/>
          <w:sz w:val="24"/>
          <w:szCs w:val="24"/>
        </w:rPr>
        <w:t>’</w:t>
      </w:r>
      <w:r w:rsidRPr="00ED62F6">
        <w:rPr>
          <w:rFonts w:ascii="Times New Roman" w:hAnsi="Times New Roman" w:cs="Times New Roman"/>
          <w:sz w:val="24"/>
          <w:szCs w:val="24"/>
        </w:rPr>
        <w:t>incertezza dei fatti costitutivi dei diritti in contestazione, indipendentemente dal verificarsi di preclusioni o di decadenze in danno delle parti</w:t>
      </w:r>
      <w:r w:rsidR="001C7FBF" w:rsidRPr="00ED62F6">
        <w:rPr>
          <w:rFonts w:ascii="Times New Roman" w:hAnsi="Times New Roman" w:cs="Times New Roman"/>
          <w:sz w:val="24"/>
          <w:szCs w:val="24"/>
        </w:rPr>
        <w:t>”</w:t>
      </w:r>
      <w:r w:rsidRPr="00ED62F6">
        <w:rPr>
          <w:rFonts w:ascii="Times New Roman" w:hAnsi="Times New Roman" w:cs="Times New Roman"/>
          <w:sz w:val="24"/>
          <w:szCs w:val="24"/>
        </w:rPr>
        <w:t xml:space="preserve"> (cfr., </w:t>
      </w:r>
      <w:r w:rsidRPr="00ED62F6">
        <w:rPr>
          <w:rFonts w:ascii="Times New Roman" w:hAnsi="Times New Roman" w:cs="Times New Roman"/>
          <w:i/>
          <w:sz w:val="24"/>
          <w:szCs w:val="24"/>
        </w:rPr>
        <w:t xml:space="preserve">ex </w:t>
      </w:r>
      <w:proofErr w:type="spellStart"/>
      <w:r w:rsidRPr="00ED62F6">
        <w:rPr>
          <w:rFonts w:ascii="Times New Roman" w:hAnsi="Times New Roman" w:cs="Times New Roman"/>
          <w:i/>
          <w:sz w:val="24"/>
          <w:szCs w:val="24"/>
        </w:rPr>
        <w:t>plurimis</w:t>
      </w:r>
      <w:proofErr w:type="spellEnd"/>
      <w:r w:rsidRPr="00ED62F6">
        <w:rPr>
          <w:rFonts w:ascii="Times New Roman" w:hAnsi="Times New Roman" w:cs="Times New Roman"/>
          <w:sz w:val="24"/>
          <w:szCs w:val="24"/>
        </w:rPr>
        <w:t xml:space="preserve">, Cass. </w:t>
      </w:r>
      <w:proofErr w:type="spellStart"/>
      <w:r w:rsidRPr="00ED62F6">
        <w:rPr>
          <w:rFonts w:ascii="Times New Roman" w:hAnsi="Times New Roman" w:cs="Times New Roman"/>
          <w:sz w:val="24"/>
          <w:szCs w:val="24"/>
        </w:rPr>
        <w:t>nn</w:t>
      </w:r>
      <w:proofErr w:type="spellEnd"/>
      <w:r w:rsidRPr="00ED62F6">
        <w:rPr>
          <w:rFonts w:ascii="Times New Roman" w:hAnsi="Times New Roman" w:cs="Times New Roman"/>
          <w:sz w:val="24"/>
          <w:szCs w:val="24"/>
        </w:rPr>
        <w:t>. 22305/2007, 2379/2007) -, non può, dall</w:t>
      </w:r>
      <w:r w:rsidR="001C7FBF" w:rsidRPr="00ED62F6">
        <w:rPr>
          <w:rFonts w:ascii="Times New Roman" w:hAnsi="Times New Roman" w:cs="Times New Roman"/>
          <w:sz w:val="24"/>
          <w:szCs w:val="24"/>
        </w:rPr>
        <w:t>’</w:t>
      </w:r>
      <w:r w:rsidRPr="00ED62F6">
        <w:rPr>
          <w:rFonts w:ascii="Times New Roman" w:hAnsi="Times New Roman" w:cs="Times New Roman"/>
          <w:sz w:val="24"/>
          <w:szCs w:val="24"/>
        </w:rPr>
        <w:t>altro lato, disconoscersi che chi deduce la sussistenza di un rapporto di lavoro connotato dalla subordinazione non possa limitarsi alla semplice deduzione, ma debba fornire prove adeguate a sostegno. Nel caso di specie, non risulta che tali prove siano state addotte dalla parte ricorrente.</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7</w:t>
      </w:r>
      <w:r w:rsidR="000B17B4" w:rsidRPr="00ED62F6">
        <w:rPr>
          <w:rFonts w:ascii="Times New Roman" w:hAnsi="Times New Roman" w:cs="Times New Roman"/>
          <w:sz w:val="24"/>
          <w:szCs w:val="24"/>
        </w:rPr>
        <w:t>.</w:t>
      </w:r>
      <w:r w:rsidRPr="00ED62F6">
        <w:rPr>
          <w:rFonts w:ascii="Times New Roman" w:hAnsi="Times New Roman" w:cs="Times New Roman"/>
          <w:sz w:val="24"/>
          <w:szCs w:val="24"/>
        </w:rPr>
        <w:t xml:space="preserve"> Il secondo motivo è inammissibile sotto diversi profili. Ed invero, innanzitutto, è da ribadire che il ricorso per cassazione, in quanto ha ad oggetto censure espressamente e tassativamente previste dall</w:t>
      </w:r>
      <w:r w:rsidR="000B17B4" w:rsidRPr="00ED62F6">
        <w:rPr>
          <w:rFonts w:ascii="Times New Roman" w:hAnsi="Times New Roman" w:cs="Times New Roman"/>
          <w:sz w:val="24"/>
          <w:szCs w:val="24"/>
        </w:rPr>
        <w:t>’</w:t>
      </w:r>
      <w:r w:rsidRPr="00ED62F6">
        <w:rPr>
          <w:rFonts w:ascii="Times New Roman" w:hAnsi="Times New Roman" w:cs="Times New Roman"/>
          <w:sz w:val="24"/>
          <w:szCs w:val="24"/>
        </w:rPr>
        <w:t>art. 360 c.p.c., deve essere articolato in specifici motivi riconducibili in maniera chiara ed inequivocabile ad una delle cinque ragioni di impugnazione stabilite dalla citata disposizione. Il rispetto del principio di specificità dei motivi comporta altresì l</w:t>
      </w:r>
      <w:r w:rsidR="000B17B4" w:rsidRPr="00ED62F6">
        <w:rPr>
          <w:rFonts w:ascii="Times New Roman" w:hAnsi="Times New Roman" w:cs="Times New Roman"/>
          <w:sz w:val="24"/>
          <w:szCs w:val="24"/>
        </w:rPr>
        <w:t>’</w:t>
      </w:r>
      <w:r w:rsidRPr="00ED62F6">
        <w:rPr>
          <w:rFonts w:ascii="Times New Roman" w:hAnsi="Times New Roman" w:cs="Times New Roman"/>
          <w:sz w:val="24"/>
          <w:szCs w:val="24"/>
        </w:rPr>
        <w:t>esposizione di argomentazioni chiare ed esaurienti, illustrative delle dedotte inosservanze di norme o principi di diritto, che precisino in che modo abbia avuto luogo la violazione ascritta alla pronunzia di merito (cfr., tra le molte, Cass. n. 23675/2013), poich</w:t>
      </w:r>
      <w:r w:rsidR="000B17B4" w:rsidRPr="00ED62F6">
        <w:rPr>
          <w:rFonts w:ascii="Times New Roman" w:hAnsi="Times New Roman" w:cs="Times New Roman"/>
          <w:sz w:val="24"/>
          <w:szCs w:val="24"/>
        </w:rPr>
        <w:t xml:space="preserve">é </w:t>
      </w:r>
      <w:r w:rsidRPr="00ED62F6">
        <w:rPr>
          <w:rFonts w:ascii="Times New Roman" w:hAnsi="Times New Roman" w:cs="Times New Roman"/>
          <w:sz w:val="24"/>
          <w:szCs w:val="24"/>
        </w:rPr>
        <w:t>è solo l</w:t>
      </w:r>
      <w:r w:rsidR="000B17B4" w:rsidRPr="00ED62F6">
        <w:rPr>
          <w:rFonts w:ascii="Times New Roman" w:hAnsi="Times New Roman" w:cs="Times New Roman"/>
          <w:sz w:val="24"/>
          <w:szCs w:val="24"/>
        </w:rPr>
        <w:t>’</w:t>
      </w:r>
      <w:r w:rsidRPr="00ED62F6">
        <w:rPr>
          <w:rFonts w:ascii="Times New Roman" w:hAnsi="Times New Roman" w:cs="Times New Roman"/>
          <w:sz w:val="24"/>
          <w:szCs w:val="24"/>
        </w:rPr>
        <w:t xml:space="preserve">esposizione delle ragioni di diritto della impugnazione che chiarisce e qualifica, sotto il profilo giuridico, il contenuto della censura (v. Cass. </w:t>
      </w:r>
      <w:proofErr w:type="spellStart"/>
      <w:r w:rsidRPr="00ED62F6">
        <w:rPr>
          <w:rFonts w:ascii="Times New Roman" w:hAnsi="Times New Roman" w:cs="Times New Roman"/>
          <w:sz w:val="24"/>
          <w:szCs w:val="24"/>
        </w:rPr>
        <w:t>nn</w:t>
      </w:r>
      <w:proofErr w:type="spellEnd"/>
      <w:r w:rsidRPr="00ED62F6">
        <w:rPr>
          <w:rFonts w:ascii="Times New Roman" w:hAnsi="Times New Roman" w:cs="Times New Roman"/>
          <w:sz w:val="24"/>
          <w:szCs w:val="24"/>
        </w:rPr>
        <w:t>. 21239/2015; 25044/2013; 17739/2011).</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Le censure sollevate con il secondo mezzo di impugnazione, in riferimento dell</w:t>
      </w:r>
      <w:r w:rsidR="000B17B4" w:rsidRPr="00ED62F6">
        <w:rPr>
          <w:rFonts w:ascii="Times New Roman" w:hAnsi="Times New Roman" w:cs="Times New Roman"/>
          <w:sz w:val="24"/>
          <w:szCs w:val="24"/>
        </w:rPr>
        <w:t>’</w:t>
      </w:r>
      <w:r w:rsidRPr="00ED62F6">
        <w:rPr>
          <w:rFonts w:ascii="Times New Roman" w:hAnsi="Times New Roman" w:cs="Times New Roman"/>
          <w:sz w:val="24"/>
          <w:szCs w:val="24"/>
        </w:rPr>
        <w:t xml:space="preserve">art. 360 c.p.c., </w:t>
      </w:r>
      <w:proofErr w:type="spellStart"/>
      <w:r w:rsidRPr="00ED62F6">
        <w:rPr>
          <w:rFonts w:ascii="Times New Roman" w:hAnsi="Times New Roman" w:cs="Times New Roman"/>
          <w:sz w:val="24"/>
          <w:szCs w:val="24"/>
        </w:rPr>
        <w:t>nn</w:t>
      </w:r>
      <w:proofErr w:type="spellEnd"/>
      <w:r w:rsidRPr="00ED62F6">
        <w:rPr>
          <w:rFonts w:ascii="Times New Roman" w:hAnsi="Times New Roman" w:cs="Times New Roman"/>
          <w:sz w:val="24"/>
          <w:szCs w:val="24"/>
        </w:rPr>
        <w:t>. 4 e 5, per nullità della sentenza e/o del procedimento, alle quali si aggiunge la dedotta omessa motivazione in relazione agli artt. 115, 416, 421 c.p.c. e art. 2697 c.c., non appaiono puntuali, poich</w:t>
      </w:r>
      <w:r w:rsidR="000B17B4" w:rsidRPr="00ED62F6">
        <w:rPr>
          <w:rFonts w:ascii="Times New Roman" w:hAnsi="Times New Roman" w:cs="Times New Roman"/>
          <w:sz w:val="24"/>
          <w:szCs w:val="24"/>
        </w:rPr>
        <w:t>é</w:t>
      </w:r>
      <w:r w:rsidRPr="00ED62F6">
        <w:rPr>
          <w:rFonts w:ascii="Times New Roman" w:hAnsi="Times New Roman" w:cs="Times New Roman"/>
          <w:sz w:val="24"/>
          <w:szCs w:val="24"/>
        </w:rPr>
        <w:t xml:space="preserve"> non chiariscono il motivo per il quale la sentenza impugnata sarebbe nulla; inconferente appare, inoltre, il riferimento alla norma dell</w:t>
      </w:r>
      <w:r w:rsidR="000B17B4" w:rsidRPr="00ED62F6">
        <w:rPr>
          <w:rFonts w:ascii="Times New Roman" w:hAnsi="Times New Roman" w:cs="Times New Roman"/>
          <w:sz w:val="24"/>
          <w:szCs w:val="24"/>
        </w:rPr>
        <w:t>’</w:t>
      </w:r>
      <w:r w:rsidRPr="00ED62F6">
        <w:rPr>
          <w:rFonts w:ascii="Times New Roman" w:hAnsi="Times New Roman" w:cs="Times New Roman"/>
          <w:sz w:val="24"/>
          <w:szCs w:val="24"/>
        </w:rPr>
        <w:t>art. 416 c.p.c., che disciplina la costituzione del convenuto, in ordine alla quale nessuna censura è stata sollevata nei precedenti gradi di giudizio.</w:t>
      </w:r>
    </w:p>
    <w:p w:rsidR="002511DA" w:rsidRPr="00ED62F6" w:rsidRDefault="002511DA" w:rsidP="009171D9">
      <w:pPr>
        <w:spacing w:line="240" w:lineRule="auto"/>
        <w:jc w:val="both"/>
        <w:rPr>
          <w:rFonts w:ascii="Times New Roman" w:hAnsi="Times New Roman" w:cs="Times New Roman"/>
          <w:sz w:val="24"/>
          <w:szCs w:val="24"/>
        </w:rPr>
      </w:pP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Ciò posto, per quanto più in particolare attiene al dedotto vizio di motivazione, va ribadito che i difetti di omissione e di insufficienza della motivazione sono configurabili solo quando, dall</w:t>
      </w:r>
      <w:r w:rsidR="000B17B4" w:rsidRPr="00ED62F6">
        <w:rPr>
          <w:rFonts w:ascii="Times New Roman" w:hAnsi="Times New Roman" w:cs="Times New Roman"/>
          <w:sz w:val="24"/>
          <w:szCs w:val="24"/>
        </w:rPr>
        <w:t>’</w:t>
      </w:r>
      <w:r w:rsidRPr="00ED62F6">
        <w:rPr>
          <w:rFonts w:ascii="Times New Roman" w:hAnsi="Times New Roman" w:cs="Times New Roman"/>
          <w:sz w:val="24"/>
          <w:szCs w:val="24"/>
        </w:rPr>
        <w:t xml:space="preserve">esame del ragionamento svolto dal giudice del merito e quale risulta dalla sentenza oggetto del giudizio, emerga </w:t>
      </w:r>
      <w:r w:rsidRPr="00ED62F6">
        <w:rPr>
          <w:rFonts w:ascii="Times New Roman" w:hAnsi="Times New Roman" w:cs="Times New Roman"/>
          <w:sz w:val="24"/>
          <w:szCs w:val="24"/>
        </w:rPr>
        <w:lastRenderedPageBreak/>
        <w:t>la totale obliterazione di elementi che potrebbero condurre ad una diversa decisione ovvero quando si evinca l</w:t>
      </w:r>
      <w:r w:rsidR="000B17B4" w:rsidRPr="00ED62F6">
        <w:rPr>
          <w:rFonts w:ascii="Times New Roman" w:hAnsi="Times New Roman" w:cs="Times New Roman"/>
          <w:sz w:val="24"/>
          <w:szCs w:val="24"/>
        </w:rPr>
        <w:t>’</w:t>
      </w:r>
      <w:r w:rsidRPr="00ED62F6">
        <w:rPr>
          <w:rFonts w:ascii="Times New Roman" w:hAnsi="Times New Roman" w:cs="Times New Roman"/>
          <w:sz w:val="24"/>
          <w:szCs w:val="24"/>
        </w:rPr>
        <w:t>obiettiva deficienza, nel complesso della sentenza, del procedimento logico che ha indotto il giudice, sulla scorta degli elementi acquisiti, al suo convincimento, ma non quando vi sia difformità rispetto alle attese ed alle deduzioni della parte ricorrente sul valore e sul significato attribuiti dal giudice di merito agli elementi delibati, poich</w:t>
      </w:r>
      <w:r w:rsidR="000B17B4" w:rsidRPr="00ED62F6">
        <w:rPr>
          <w:rFonts w:ascii="Times New Roman" w:hAnsi="Times New Roman" w:cs="Times New Roman"/>
          <w:sz w:val="24"/>
          <w:szCs w:val="24"/>
        </w:rPr>
        <w:t>é</w:t>
      </w:r>
      <w:r w:rsidRPr="00ED62F6">
        <w:rPr>
          <w:rFonts w:ascii="Times New Roman" w:hAnsi="Times New Roman" w:cs="Times New Roman"/>
          <w:sz w:val="24"/>
          <w:szCs w:val="24"/>
        </w:rPr>
        <w:t>, in quest</w:t>
      </w:r>
      <w:r w:rsidR="000B17B4" w:rsidRPr="00ED62F6">
        <w:rPr>
          <w:rFonts w:ascii="Times New Roman" w:hAnsi="Times New Roman" w:cs="Times New Roman"/>
          <w:sz w:val="24"/>
          <w:szCs w:val="24"/>
        </w:rPr>
        <w:t>’</w:t>
      </w:r>
      <w:r w:rsidRPr="00ED62F6">
        <w:rPr>
          <w:rFonts w:ascii="Times New Roman" w:hAnsi="Times New Roman" w:cs="Times New Roman"/>
          <w:sz w:val="24"/>
          <w:szCs w:val="24"/>
        </w:rPr>
        <w:t>ultimo caso, il motivo di ricorso si risolverebbe in un</w:t>
      </w:r>
      <w:r w:rsidR="000B17B4" w:rsidRPr="00ED62F6">
        <w:rPr>
          <w:rFonts w:ascii="Times New Roman" w:hAnsi="Times New Roman" w:cs="Times New Roman"/>
          <w:sz w:val="24"/>
          <w:szCs w:val="24"/>
        </w:rPr>
        <w:t>’</w:t>
      </w:r>
      <w:r w:rsidRPr="00ED62F6">
        <w:rPr>
          <w:rFonts w:ascii="Times New Roman" w:hAnsi="Times New Roman" w:cs="Times New Roman"/>
          <w:sz w:val="24"/>
          <w:szCs w:val="24"/>
        </w:rPr>
        <w:t xml:space="preserve">inammissibile istanza di revisione delle valutazioni e dei convincimenti dello stesso giudice di merito finalizzata ad ottenere una nuova pronuncia sul fatto, certamente estranea alla natura ed alle finalità del giudizio di cassazione (cfr., </w:t>
      </w:r>
      <w:r w:rsidRPr="00ED62F6">
        <w:rPr>
          <w:rFonts w:ascii="Times New Roman" w:hAnsi="Times New Roman" w:cs="Times New Roman"/>
          <w:i/>
          <w:sz w:val="24"/>
          <w:szCs w:val="24"/>
        </w:rPr>
        <w:t xml:space="preserve">ex </w:t>
      </w:r>
      <w:proofErr w:type="spellStart"/>
      <w:r w:rsidRPr="00ED62F6">
        <w:rPr>
          <w:rFonts w:ascii="Times New Roman" w:hAnsi="Times New Roman" w:cs="Times New Roman"/>
          <w:i/>
          <w:sz w:val="24"/>
          <w:szCs w:val="24"/>
        </w:rPr>
        <w:t>plurimis</w:t>
      </w:r>
      <w:proofErr w:type="spellEnd"/>
      <w:r w:rsidRPr="00ED62F6">
        <w:rPr>
          <w:rFonts w:ascii="Times New Roman" w:hAnsi="Times New Roman" w:cs="Times New Roman"/>
          <w:sz w:val="24"/>
          <w:szCs w:val="24"/>
        </w:rPr>
        <w:t>, Cass., S.U., n. 24148/2013; Cass. n. 14541/2014).</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Nel caso di specie, le doglianze articolate dalla parte ricorrente come vizio di motivazione appaiono inidonee, perch</w:t>
      </w:r>
      <w:r w:rsidR="000B17B4" w:rsidRPr="00ED62F6">
        <w:rPr>
          <w:rFonts w:ascii="Times New Roman" w:hAnsi="Times New Roman" w:cs="Times New Roman"/>
          <w:sz w:val="24"/>
          <w:szCs w:val="24"/>
        </w:rPr>
        <w:t>é</w:t>
      </w:r>
      <w:r w:rsidRPr="00ED62F6">
        <w:rPr>
          <w:rFonts w:ascii="Times New Roman" w:hAnsi="Times New Roman" w:cs="Times New Roman"/>
          <w:sz w:val="24"/>
          <w:szCs w:val="24"/>
        </w:rPr>
        <w:t xml:space="preserve"> palesemente tese ad ottenere un nuovo esame del merito, anche con riferimento alla valutazione delle prove, a scalfire la coerenza della sentenza sotto il profilo dell</w:t>
      </w:r>
      <w:r w:rsidR="000B17B4" w:rsidRPr="00ED62F6">
        <w:rPr>
          <w:rFonts w:ascii="Times New Roman" w:hAnsi="Times New Roman" w:cs="Times New Roman"/>
          <w:sz w:val="24"/>
          <w:szCs w:val="24"/>
        </w:rPr>
        <w:t>’</w:t>
      </w:r>
      <w:r w:rsidRPr="00AD4491">
        <w:rPr>
          <w:rFonts w:ascii="Times New Roman" w:hAnsi="Times New Roman" w:cs="Times New Roman"/>
          <w:i/>
          <w:sz w:val="24"/>
          <w:szCs w:val="24"/>
        </w:rPr>
        <w:t xml:space="preserve">iter </w:t>
      </w:r>
      <w:r w:rsidRPr="00ED62F6">
        <w:rPr>
          <w:rFonts w:ascii="Times New Roman" w:hAnsi="Times New Roman" w:cs="Times New Roman"/>
          <w:sz w:val="24"/>
          <w:szCs w:val="24"/>
        </w:rPr>
        <w:t>logico-giuridico.</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8. Il terzo motivo non è fondato, poich</w:t>
      </w:r>
      <w:r w:rsidR="000B17B4" w:rsidRPr="00ED62F6">
        <w:rPr>
          <w:rFonts w:ascii="Times New Roman" w:hAnsi="Times New Roman" w:cs="Times New Roman"/>
          <w:sz w:val="24"/>
          <w:szCs w:val="24"/>
        </w:rPr>
        <w:t>é</w:t>
      </w:r>
      <w:r w:rsidRPr="00ED62F6">
        <w:rPr>
          <w:rFonts w:ascii="Times New Roman" w:hAnsi="Times New Roman" w:cs="Times New Roman"/>
          <w:sz w:val="24"/>
          <w:szCs w:val="24"/>
        </w:rPr>
        <w:t xml:space="preserve"> i giudici di merito hanno preso in considerazione gli elementi che connotano la subordinazione e, dopo avere vagliato le risultanze istruttorie, sono pervenuti, attraverso un percorso motivazionale del tutto coerente, ad escluderne la sussistenza con riferimento alla fattispecie.</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Al riguardo, è da premettere che il caso all</w:t>
      </w:r>
      <w:r w:rsidR="000B17B4" w:rsidRPr="00ED62F6">
        <w:rPr>
          <w:rFonts w:ascii="Times New Roman" w:hAnsi="Times New Roman" w:cs="Times New Roman"/>
          <w:sz w:val="24"/>
          <w:szCs w:val="24"/>
        </w:rPr>
        <w:t>’</w:t>
      </w:r>
      <w:r w:rsidRPr="00ED62F6">
        <w:rPr>
          <w:rFonts w:ascii="Times New Roman" w:hAnsi="Times New Roman" w:cs="Times New Roman"/>
          <w:sz w:val="24"/>
          <w:szCs w:val="24"/>
        </w:rPr>
        <w:t xml:space="preserve">esame ripropone la </w:t>
      </w:r>
      <w:r w:rsidRPr="00ED62F6">
        <w:rPr>
          <w:rFonts w:ascii="Times New Roman" w:hAnsi="Times New Roman" w:cs="Times New Roman"/>
          <w:i/>
          <w:sz w:val="24"/>
          <w:szCs w:val="24"/>
        </w:rPr>
        <w:t>vexata quaestio</w:t>
      </w:r>
      <w:r w:rsidRPr="00ED62F6">
        <w:rPr>
          <w:rFonts w:ascii="Times New Roman" w:hAnsi="Times New Roman" w:cs="Times New Roman"/>
          <w:sz w:val="24"/>
          <w:szCs w:val="24"/>
        </w:rPr>
        <w:t xml:space="preserve"> della distinzione tra rapporto di lavoro autonomo e rapporto di lavoro subordinato in una fattispecie che, per alcuni versi, presenta dei connotati peculiari.</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 xml:space="preserve">Deve, del resto, prendersi atto che oggi i due cennati tipi di rapporto non compaiono che raramente nelle loro forme e prospettazioni </w:t>
      </w:r>
      <w:r w:rsidR="000B17B4" w:rsidRPr="00ED62F6">
        <w:rPr>
          <w:rFonts w:ascii="Times New Roman" w:hAnsi="Times New Roman" w:cs="Times New Roman"/>
          <w:sz w:val="24"/>
          <w:szCs w:val="24"/>
        </w:rPr>
        <w:t>“</w:t>
      </w:r>
      <w:r w:rsidRPr="00ED62F6">
        <w:rPr>
          <w:rFonts w:ascii="Times New Roman" w:hAnsi="Times New Roman" w:cs="Times New Roman"/>
          <w:sz w:val="24"/>
          <w:szCs w:val="24"/>
        </w:rPr>
        <w:t>primordiali</w:t>
      </w:r>
      <w:r w:rsidR="000B17B4" w:rsidRPr="00ED62F6">
        <w:rPr>
          <w:rFonts w:ascii="Times New Roman" w:hAnsi="Times New Roman" w:cs="Times New Roman"/>
          <w:sz w:val="24"/>
          <w:szCs w:val="24"/>
        </w:rPr>
        <w:t>”</w:t>
      </w:r>
      <w:r w:rsidRPr="00ED62F6">
        <w:rPr>
          <w:rFonts w:ascii="Times New Roman" w:hAnsi="Times New Roman" w:cs="Times New Roman"/>
          <w:sz w:val="24"/>
          <w:szCs w:val="24"/>
        </w:rPr>
        <w:t xml:space="preserve"> e più semplici, in quanto gli aspetti molteplici di una vita quotidiana e di una realtà sociale in continuo sviluppo e le diuturne sollecitazioni che ne promanano hanno insinuato in ognuno di essi elementi per così dire perturbatori che appannano, turbano, appunto, la primigenia </w:t>
      </w:r>
      <w:proofErr w:type="spellStart"/>
      <w:r w:rsidRPr="00ED62F6">
        <w:rPr>
          <w:rFonts w:ascii="Times New Roman" w:hAnsi="Times New Roman" w:cs="Times New Roman"/>
          <w:i/>
          <w:sz w:val="24"/>
          <w:szCs w:val="24"/>
        </w:rPr>
        <w:t>simplicitas</w:t>
      </w:r>
      <w:proofErr w:type="spellEnd"/>
      <w:r w:rsidRPr="00ED62F6">
        <w:rPr>
          <w:rFonts w:ascii="Times New Roman" w:hAnsi="Times New Roman" w:cs="Times New Roman"/>
          <w:sz w:val="24"/>
          <w:szCs w:val="24"/>
        </w:rPr>
        <w:t xml:space="preserve"> del </w:t>
      </w:r>
      <w:r w:rsidR="000B17B4" w:rsidRPr="00ED62F6">
        <w:rPr>
          <w:rFonts w:ascii="Times New Roman" w:hAnsi="Times New Roman" w:cs="Times New Roman"/>
          <w:sz w:val="24"/>
          <w:szCs w:val="24"/>
        </w:rPr>
        <w:t>“</w:t>
      </w:r>
      <w:r w:rsidRPr="00ED62F6">
        <w:rPr>
          <w:rFonts w:ascii="Times New Roman" w:hAnsi="Times New Roman" w:cs="Times New Roman"/>
          <w:sz w:val="24"/>
          <w:szCs w:val="24"/>
        </w:rPr>
        <w:t>tipo legale</w:t>
      </w:r>
      <w:r w:rsidR="000B17B4" w:rsidRPr="00ED62F6">
        <w:rPr>
          <w:rFonts w:ascii="Times New Roman" w:hAnsi="Times New Roman" w:cs="Times New Roman"/>
          <w:sz w:val="24"/>
          <w:szCs w:val="24"/>
        </w:rPr>
        <w:t>”</w:t>
      </w:r>
      <w:r w:rsidRPr="00ED62F6">
        <w:rPr>
          <w:rFonts w:ascii="Times New Roman" w:hAnsi="Times New Roman" w:cs="Times New Roman"/>
          <w:sz w:val="24"/>
          <w:szCs w:val="24"/>
        </w:rPr>
        <w:t xml:space="preserve"> e fanno dei medesimi, non di rado, qualcosa di ibrido e, comunque, di difficilmente definibile.</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 xml:space="preserve">Per cui la qualificazione </w:t>
      </w:r>
      <w:r w:rsidRPr="00ED62F6">
        <w:rPr>
          <w:rFonts w:ascii="Times New Roman" w:hAnsi="Times New Roman" w:cs="Times New Roman"/>
          <w:i/>
          <w:sz w:val="24"/>
          <w:szCs w:val="24"/>
        </w:rPr>
        <w:t>sub specie</w:t>
      </w:r>
      <w:r w:rsidRPr="00ED62F6">
        <w:rPr>
          <w:rFonts w:ascii="Times New Roman" w:hAnsi="Times New Roman" w:cs="Times New Roman"/>
          <w:sz w:val="24"/>
          <w:szCs w:val="24"/>
        </w:rPr>
        <w:t xml:space="preserve"> di </w:t>
      </w:r>
      <w:proofErr w:type="spellStart"/>
      <w:r w:rsidRPr="00ED62F6">
        <w:rPr>
          <w:rFonts w:ascii="Times New Roman" w:hAnsi="Times New Roman" w:cs="Times New Roman"/>
          <w:i/>
          <w:sz w:val="24"/>
          <w:szCs w:val="24"/>
        </w:rPr>
        <w:t>locatio</w:t>
      </w:r>
      <w:proofErr w:type="spellEnd"/>
      <w:r w:rsidRPr="00ED62F6">
        <w:rPr>
          <w:rFonts w:ascii="Times New Roman" w:hAnsi="Times New Roman" w:cs="Times New Roman"/>
          <w:i/>
          <w:sz w:val="24"/>
          <w:szCs w:val="24"/>
        </w:rPr>
        <w:t xml:space="preserve"> </w:t>
      </w:r>
      <w:proofErr w:type="spellStart"/>
      <w:r w:rsidRPr="00ED62F6">
        <w:rPr>
          <w:rFonts w:ascii="Times New Roman" w:hAnsi="Times New Roman" w:cs="Times New Roman"/>
          <w:i/>
          <w:sz w:val="24"/>
          <w:szCs w:val="24"/>
        </w:rPr>
        <w:t>operis</w:t>
      </w:r>
      <w:proofErr w:type="spellEnd"/>
      <w:r w:rsidRPr="00ED62F6">
        <w:rPr>
          <w:rFonts w:ascii="Times New Roman" w:hAnsi="Times New Roman" w:cs="Times New Roman"/>
          <w:sz w:val="24"/>
          <w:szCs w:val="24"/>
        </w:rPr>
        <w:t xml:space="preserve"> o </w:t>
      </w:r>
      <w:proofErr w:type="spellStart"/>
      <w:r w:rsidRPr="00ED62F6">
        <w:rPr>
          <w:rFonts w:ascii="Times New Roman" w:hAnsi="Times New Roman" w:cs="Times New Roman"/>
          <w:i/>
          <w:sz w:val="24"/>
          <w:szCs w:val="24"/>
        </w:rPr>
        <w:t>locatio</w:t>
      </w:r>
      <w:proofErr w:type="spellEnd"/>
      <w:r w:rsidRPr="00ED62F6">
        <w:rPr>
          <w:rFonts w:ascii="Times New Roman" w:hAnsi="Times New Roman" w:cs="Times New Roman"/>
          <w:i/>
          <w:sz w:val="24"/>
          <w:szCs w:val="24"/>
        </w:rPr>
        <w:t xml:space="preserve"> </w:t>
      </w:r>
      <w:proofErr w:type="spellStart"/>
      <w:r w:rsidRPr="00ED62F6">
        <w:rPr>
          <w:rFonts w:ascii="Times New Roman" w:hAnsi="Times New Roman" w:cs="Times New Roman"/>
          <w:i/>
          <w:sz w:val="24"/>
          <w:szCs w:val="24"/>
        </w:rPr>
        <w:t>operarum</w:t>
      </w:r>
      <w:proofErr w:type="spellEnd"/>
      <w:r w:rsidRPr="00ED62F6">
        <w:rPr>
          <w:rFonts w:ascii="Times New Roman" w:hAnsi="Times New Roman" w:cs="Times New Roman"/>
          <w:sz w:val="24"/>
          <w:szCs w:val="24"/>
        </w:rPr>
        <w:t xml:space="preserve"> e la sua sussunzione sotto l</w:t>
      </w:r>
      <w:r w:rsidR="004E4637" w:rsidRPr="00ED62F6">
        <w:rPr>
          <w:rFonts w:ascii="Times New Roman" w:hAnsi="Times New Roman" w:cs="Times New Roman"/>
          <w:sz w:val="24"/>
          <w:szCs w:val="24"/>
        </w:rPr>
        <w:t>’</w:t>
      </w:r>
      <w:r w:rsidRPr="00ED62F6">
        <w:rPr>
          <w:rFonts w:ascii="Times New Roman" w:hAnsi="Times New Roman" w:cs="Times New Roman"/>
          <w:sz w:val="24"/>
          <w:szCs w:val="24"/>
        </w:rPr>
        <w:t>uno o l</w:t>
      </w:r>
      <w:r w:rsidR="004E4637" w:rsidRPr="00ED62F6">
        <w:rPr>
          <w:rFonts w:ascii="Times New Roman" w:hAnsi="Times New Roman" w:cs="Times New Roman"/>
          <w:sz w:val="24"/>
          <w:szCs w:val="24"/>
        </w:rPr>
        <w:t>’</w:t>
      </w:r>
      <w:r w:rsidRPr="00ED62F6">
        <w:rPr>
          <w:rFonts w:ascii="Times New Roman" w:hAnsi="Times New Roman" w:cs="Times New Roman"/>
          <w:sz w:val="24"/>
          <w:szCs w:val="24"/>
        </w:rPr>
        <w:t xml:space="preserve">altro </w:t>
      </w:r>
      <w:proofErr w:type="spellStart"/>
      <w:r w:rsidRPr="00ED62F6">
        <w:rPr>
          <w:rFonts w:ascii="Times New Roman" w:hAnsi="Times New Roman" w:cs="Times New Roman"/>
          <w:i/>
          <w:sz w:val="24"/>
          <w:szCs w:val="24"/>
        </w:rPr>
        <w:t>nomen</w:t>
      </w:r>
      <w:proofErr w:type="spellEnd"/>
      <w:r w:rsidRPr="00ED62F6">
        <w:rPr>
          <w:rFonts w:ascii="Times New Roman" w:hAnsi="Times New Roman" w:cs="Times New Roman"/>
          <w:i/>
          <w:sz w:val="24"/>
          <w:szCs w:val="24"/>
        </w:rPr>
        <w:t xml:space="preserve"> iuris</w:t>
      </w:r>
      <w:r w:rsidRPr="00ED62F6">
        <w:rPr>
          <w:rFonts w:ascii="Times New Roman" w:hAnsi="Times New Roman" w:cs="Times New Roman"/>
          <w:sz w:val="24"/>
          <w:szCs w:val="24"/>
        </w:rPr>
        <w:t xml:space="preserve"> diventa più delicata e richiede una più approfondita opera di accertamento della realtà fattuale e di affinamento di quei momenti che la teoria ermeneutica caratterizza come </w:t>
      </w:r>
      <w:proofErr w:type="spellStart"/>
      <w:r w:rsidRPr="00ED62F6">
        <w:rPr>
          <w:rFonts w:ascii="Times New Roman" w:hAnsi="Times New Roman" w:cs="Times New Roman"/>
          <w:i/>
          <w:sz w:val="24"/>
          <w:szCs w:val="24"/>
        </w:rPr>
        <w:t>subtilitas</w:t>
      </w:r>
      <w:proofErr w:type="spellEnd"/>
      <w:r w:rsidRPr="00ED62F6">
        <w:rPr>
          <w:rFonts w:ascii="Times New Roman" w:hAnsi="Times New Roman" w:cs="Times New Roman"/>
          <w:i/>
          <w:sz w:val="24"/>
          <w:szCs w:val="24"/>
        </w:rPr>
        <w:t xml:space="preserve"> </w:t>
      </w:r>
      <w:proofErr w:type="spellStart"/>
      <w:r w:rsidRPr="00ED62F6">
        <w:rPr>
          <w:rFonts w:ascii="Times New Roman" w:hAnsi="Times New Roman" w:cs="Times New Roman"/>
          <w:i/>
          <w:sz w:val="24"/>
          <w:szCs w:val="24"/>
        </w:rPr>
        <w:t>explicandi</w:t>
      </w:r>
      <w:proofErr w:type="spellEnd"/>
      <w:r w:rsidRPr="00ED62F6">
        <w:rPr>
          <w:rFonts w:ascii="Times New Roman" w:hAnsi="Times New Roman" w:cs="Times New Roman"/>
          <w:sz w:val="24"/>
          <w:szCs w:val="24"/>
        </w:rPr>
        <w:t xml:space="preserve"> e, soprattutto, come </w:t>
      </w:r>
      <w:proofErr w:type="spellStart"/>
      <w:r w:rsidRPr="00ED62F6">
        <w:rPr>
          <w:rFonts w:ascii="Times New Roman" w:hAnsi="Times New Roman" w:cs="Times New Roman"/>
          <w:i/>
          <w:sz w:val="24"/>
          <w:szCs w:val="24"/>
        </w:rPr>
        <w:t>subtilitas</w:t>
      </w:r>
      <w:proofErr w:type="spellEnd"/>
      <w:r w:rsidRPr="00ED62F6">
        <w:rPr>
          <w:rFonts w:ascii="Times New Roman" w:hAnsi="Times New Roman" w:cs="Times New Roman"/>
          <w:i/>
          <w:sz w:val="24"/>
          <w:szCs w:val="24"/>
        </w:rPr>
        <w:t xml:space="preserve"> </w:t>
      </w:r>
      <w:proofErr w:type="spellStart"/>
      <w:r w:rsidRPr="00ED62F6">
        <w:rPr>
          <w:rFonts w:ascii="Times New Roman" w:hAnsi="Times New Roman" w:cs="Times New Roman"/>
          <w:i/>
          <w:sz w:val="24"/>
          <w:szCs w:val="24"/>
        </w:rPr>
        <w:t>applicandi</w:t>
      </w:r>
      <w:proofErr w:type="spellEnd"/>
      <w:r w:rsidRPr="00ED62F6">
        <w:rPr>
          <w:rFonts w:ascii="Times New Roman" w:hAnsi="Times New Roman" w:cs="Times New Roman"/>
          <w:sz w:val="24"/>
          <w:szCs w:val="24"/>
        </w:rPr>
        <w:t>.</w:t>
      </w:r>
    </w:p>
    <w:p w:rsidR="002511DA" w:rsidRPr="00FF0F19"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 xml:space="preserve">Soccorre, peraltro, in questa </w:t>
      </w:r>
      <w:proofErr w:type="spellStart"/>
      <w:r w:rsidRPr="00ED62F6">
        <w:rPr>
          <w:rFonts w:ascii="Times New Roman" w:hAnsi="Times New Roman" w:cs="Times New Roman"/>
          <w:i/>
          <w:sz w:val="24"/>
          <w:szCs w:val="24"/>
        </w:rPr>
        <w:t>actio</w:t>
      </w:r>
      <w:proofErr w:type="spellEnd"/>
      <w:r w:rsidRPr="00ED62F6">
        <w:rPr>
          <w:rFonts w:ascii="Times New Roman" w:hAnsi="Times New Roman" w:cs="Times New Roman"/>
          <w:i/>
          <w:sz w:val="24"/>
          <w:szCs w:val="24"/>
        </w:rPr>
        <w:t xml:space="preserve"> </w:t>
      </w:r>
      <w:proofErr w:type="spellStart"/>
      <w:r w:rsidRPr="00ED62F6">
        <w:rPr>
          <w:rFonts w:ascii="Times New Roman" w:hAnsi="Times New Roman" w:cs="Times New Roman"/>
          <w:i/>
          <w:sz w:val="24"/>
          <w:szCs w:val="24"/>
        </w:rPr>
        <w:t>finium</w:t>
      </w:r>
      <w:proofErr w:type="spellEnd"/>
      <w:r w:rsidRPr="00ED62F6">
        <w:rPr>
          <w:rFonts w:ascii="Times New Roman" w:hAnsi="Times New Roman" w:cs="Times New Roman"/>
          <w:i/>
          <w:sz w:val="24"/>
          <w:szCs w:val="24"/>
        </w:rPr>
        <w:t xml:space="preserve"> </w:t>
      </w:r>
      <w:proofErr w:type="spellStart"/>
      <w:r w:rsidRPr="00ED62F6">
        <w:rPr>
          <w:rFonts w:ascii="Times New Roman" w:hAnsi="Times New Roman" w:cs="Times New Roman"/>
          <w:i/>
          <w:sz w:val="24"/>
          <w:szCs w:val="24"/>
        </w:rPr>
        <w:t>regundorum</w:t>
      </w:r>
      <w:proofErr w:type="spellEnd"/>
      <w:r w:rsidRPr="00ED62F6">
        <w:rPr>
          <w:rFonts w:ascii="Times New Roman" w:hAnsi="Times New Roman" w:cs="Times New Roman"/>
          <w:sz w:val="24"/>
          <w:szCs w:val="24"/>
        </w:rPr>
        <w:t xml:space="preserve"> tra lavoro autonomo e subordinato l</w:t>
      </w:r>
      <w:r w:rsidR="004E4637" w:rsidRPr="00ED62F6">
        <w:rPr>
          <w:rFonts w:ascii="Times New Roman" w:hAnsi="Times New Roman" w:cs="Times New Roman"/>
          <w:sz w:val="24"/>
          <w:szCs w:val="24"/>
        </w:rPr>
        <w:t>’</w:t>
      </w:r>
      <w:r w:rsidRPr="00ED62F6">
        <w:rPr>
          <w:rFonts w:ascii="Times New Roman" w:hAnsi="Times New Roman" w:cs="Times New Roman"/>
          <w:sz w:val="24"/>
          <w:szCs w:val="24"/>
        </w:rPr>
        <w:t xml:space="preserve">insegnamento della giurisprudenza che, intervenendo con molta consapevolezza sul tema, ha dato alla </w:t>
      </w:r>
      <w:r w:rsidRPr="00FF0F19">
        <w:rPr>
          <w:rFonts w:ascii="Times New Roman" w:hAnsi="Times New Roman" w:cs="Times New Roman"/>
          <w:sz w:val="24"/>
          <w:szCs w:val="24"/>
        </w:rPr>
        <w:t>dibattuta questione una soluzione che può, nei principi, ormai dirsi consolidata.</w:t>
      </w:r>
    </w:p>
    <w:p w:rsidR="002511DA" w:rsidRPr="00FF0F19" w:rsidRDefault="004E4637" w:rsidP="009171D9">
      <w:pPr>
        <w:spacing w:line="240" w:lineRule="auto"/>
        <w:jc w:val="both"/>
        <w:rPr>
          <w:rFonts w:ascii="Times New Roman" w:hAnsi="Times New Roman" w:cs="Times New Roman"/>
          <w:sz w:val="24"/>
          <w:szCs w:val="24"/>
        </w:rPr>
      </w:pPr>
      <w:r w:rsidRPr="00FF0F19">
        <w:rPr>
          <w:rFonts w:ascii="Times New Roman" w:hAnsi="Times New Roman" w:cs="Times New Roman"/>
          <w:sz w:val="24"/>
          <w:szCs w:val="24"/>
        </w:rPr>
        <w:t>É</w:t>
      </w:r>
      <w:r w:rsidR="002511DA" w:rsidRPr="00FF0F19">
        <w:rPr>
          <w:rFonts w:ascii="Times New Roman" w:hAnsi="Times New Roman" w:cs="Times New Roman"/>
          <w:sz w:val="24"/>
          <w:szCs w:val="24"/>
        </w:rPr>
        <w:t xml:space="preserve"> noto, difatti, che, secondo il richiamato e consolidato insegnamento della giurisprudenza di questa Corte, l</w:t>
      </w:r>
      <w:r w:rsidRPr="00FF0F19">
        <w:rPr>
          <w:rFonts w:ascii="Times New Roman" w:hAnsi="Times New Roman" w:cs="Times New Roman"/>
          <w:sz w:val="24"/>
          <w:szCs w:val="24"/>
        </w:rPr>
        <w:t>’</w:t>
      </w:r>
      <w:r w:rsidR="002511DA" w:rsidRPr="00FF0F19">
        <w:rPr>
          <w:rFonts w:ascii="Times New Roman" w:hAnsi="Times New Roman" w:cs="Times New Roman"/>
          <w:sz w:val="24"/>
          <w:szCs w:val="24"/>
        </w:rPr>
        <w:t>elemento essenziale di differenziazione tra lavoro autonomo e lavoro subordinato consiste nel vincolo di soggezione del lavoratore al potere direttivo, organizzativo e disciplinare del datore di lavoro, da ricercare in base ad un accertamento esclusivamente compiuto sulle concrete modalità di svolgimento della prestazione lavorativa.</w:t>
      </w:r>
    </w:p>
    <w:p w:rsidR="002511DA" w:rsidRPr="00ED62F6" w:rsidRDefault="002511DA" w:rsidP="009171D9">
      <w:pPr>
        <w:spacing w:line="240" w:lineRule="auto"/>
        <w:jc w:val="both"/>
        <w:rPr>
          <w:rFonts w:ascii="Times New Roman" w:hAnsi="Times New Roman" w:cs="Times New Roman"/>
          <w:sz w:val="24"/>
          <w:szCs w:val="24"/>
        </w:rPr>
      </w:pPr>
      <w:r w:rsidRPr="00FF0F19">
        <w:rPr>
          <w:rFonts w:ascii="Times New Roman" w:hAnsi="Times New Roman" w:cs="Times New Roman"/>
          <w:sz w:val="24"/>
          <w:szCs w:val="24"/>
        </w:rPr>
        <w:t>In particolare, mentre la subordinazione implica l</w:t>
      </w:r>
      <w:r w:rsidR="004E4637" w:rsidRPr="00FF0F19">
        <w:rPr>
          <w:rFonts w:ascii="Times New Roman" w:hAnsi="Times New Roman" w:cs="Times New Roman"/>
          <w:sz w:val="24"/>
          <w:szCs w:val="24"/>
        </w:rPr>
        <w:t>’</w:t>
      </w:r>
      <w:r w:rsidRPr="00FF0F19">
        <w:rPr>
          <w:rFonts w:ascii="Times New Roman" w:hAnsi="Times New Roman" w:cs="Times New Roman"/>
          <w:sz w:val="24"/>
          <w:szCs w:val="24"/>
        </w:rPr>
        <w:t>inserimento del lavoratore nella organizzazione imprenditoriale del datore di lavoro mediante la messa a disposizione, in suo favore, delle proprie energie lavorative (</w:t>
      </w:r>
      <w:proofErr w:type="spellStart"/>
      <w:r w:rsidRPr="00FF0F19">
        <w:rPr>
          <w:rFonts w:ascii="Times New Roman" w:hAnsi="Times New Roman" w:cs="Times New Roman"/>
          <w:i/>
          <w:sz w:val="24"/>
          <w:szCs w:val="24"/>
        </w:rPr>
        <w:t>operae</w:t>
      </w:r>
      <w:proofErr w:type="spellEnd"/>
      <w:r w:rsidRPr="00FF0F19">
        <w:rPr>
          <w:rFonts w:ascii="Times New Roman" w:hAnsi="Times New Roman" w:cs="Times New Roman"/>
          <w:sz w:val="24"/>
          <w:szCs w:val="24"/>
        </w:rPr>
        <w:t>) ed il contestuale assoggettamento al potere direttivo di costui, nel lavoro autonomo l</w:t>
      </w:r>
      <w:r w:rsidR="004E4637" w:rsidRPr="00FF0F19">
        <w:rPr>
          <w:rFonts w:ascii="Times New Roman" w:hAnsi="Times New Roman" w:cs="Times New Roman"/>
          <w:sz w:val="24"/>
          <w:szCs w:val="24"/>
        </w:rPr>
        <w:t>’</w:t>
      </w:r>
      <w:r w:rsidRPr="00FF0F19">
        <w:rPr>
          <w:rFonts w:ascii="Times New Roman" w:hAnsi="Times New Roman" w:cs="Times New Roman"/>
          <w:sz w:val="24"/>
          <w:szCs w:val="24"/>
        </w:rPr>
        <w:t>oggetto della prestazione è costituito dal risultato dell</w:t>
      </w:r>
      <w:r w:rsidR="004E4637" w:rsidRPr="00FF0F19">
        <w:rPr>
          <w:rFonts w:ascii="Times New Roman" w:hAnsi="Times New Roman" w:cs="Times New Roman"/>
          <w:sz w:val="24"/>
          <w:szCs w:val="24"/>
        </w:rPr>
        <w:t>’</w:t>
      </w:r>
      <w:r w:rsidRPr="00FF0F19">
        <w:rPr>
          <w:rFonts w:ascii="Times New Roman" w:hAnsi="Times New Roman" w:cs="Times New Roman"/>
          <w:sz w:val="24"/>
          <w:szCs w:val="24"/>
        </w:rPr>
        <w:t>attività (</w:t>
      </w:r>
      <w:r w:rsidRPr="00FF0F19">
        <w:rPr>
          <w:rFonts w:ascii="Times New Roman" w:hAnsi="Times New Roman" w:cs="Times New Roman"/>
          <w:i/>
          <w:sz w:val="24"/>
          <w:szCs w:val="24"/>
        </w:rPr>
        <w:t>opus</w:t>
      </w:r>
      <w:r w:rsidRPr="00FF0F19">
        <w:rPr>
          <w:rFonts w:ascii="Times New Roman" w:hAnsi="Times New Roman" w:cs="Times New Roman"/>
          <w:sz w:val="24"/>
          <w:szCs w:val="24"/>
        </w:rPr>
        <w:t xml:space="preserve">): </w:t>
      </w:r>
      <w:r w:rsidRPr="00FF0F19">
        <w:rPr>
          <w:rFonts w:ascii="Times New Roman" w:hAnsi="Times New Roman" w:cs="Times New Roman"/>
          <w:i/>
          <w:sz w:val="24"/>
          <w:szCs w:val="24"/>
        </w:rPr>
        <w:t xml:space="preserve">ex </w:t>
      </w:r>
      <w:proofErr w:type="spellStart"/>
      <w:r w:rsidRPr="00FF0F19">
        <w:rPr>
          <w:rFonts w:ascii="Times New Roman" w:hAnsi="Times New Roman" w:cs="Times New Roman"/>
          <w:i/>
          <w:sz w:val="24"/>
          <w:szCs w:val="24"/>
        </w:rPr>
        <w:t>multis</w:t>
      </w:r>
      <w:proofErr w:type="spellEnd"/>
      <w:r w:rsidRPr="00FF0F19">
        <w:rPr>
          <w:rFonts w:ascii="Times New Roman" w:hAnsi="Times New Roman" w:cs="Times New Roman"/>
          <w:sz w:val="24"/>
          <w:szCs w:val="24"/>
        </w:rPr>
        <w:t xml:space="preserve">, Cass. </w:t>
      </w:r>
      <w:proofErr w:type="spellStart"/>
      <w:r w:rsidRPr="00FF0F19">
        <w:rPr>
          <w:rFonts w:ascii="Times New Roman" w:hAnsi="Times New Roman" w:cs="Times New Roman"/>
          <w:sz w:val="24"/>
          <w:szCs w:val="24"/>
        </w:rPr>
        <w:t>nn</w:t>
      </w:r>
      <w:proofErr w:type="spellEnd"/>
      <w:r w:rsidRPr="00FF0F19">
        <w:rPr>
          <w:rFonts w:ascii="Times New Roman" w:hAnsi="Times New Roman" w:cs="Times New Roman"/>
          <w:sz w:val="24"/>
          <w:szCs w:val="24"/>
        </w:rPr>
        <w:t>. 12926/1999; 5464/1997; 2690/1994; e, più di recente, Cass. n. 4770/2003; 5645/2009, secondo cui, ai fini della qualificazione del rapporto di lavoro come subordinato oppure autonomo, il primario parametro distintivo della subordinazione, intesa come</w:t>
      </w:r>
      <w:bookmarkStart w:id="1" w:name="_GoBack"/>
      <w:bookmarkEnd w:id="1"/>
      <w:r w:rsidRPr="00ED62F6">
        <w:rPr>
          <w:rFonts w:ascii="Times New Roman" w:hAnsi="Times New Roman" w:cs="Times New Roman"/>
          <w:sz w:val="24"/>
          <w:szCs w:val="24"/>
        </w:rPr>
        <w:t xml:space="preserve"> assoggettamento del lavoratore al potere organizzativo del datore di lavoro, deve essere accertato o escluso mediante il ricorso agli elementi che il giudice deve concretamente individuare dando prevalenza ai dati fattuali emergenti dalle modalità di svolgimento del rapporto (cfr. pure, tra le molte, Cass. </w:t>
      </w:r>
      <w:proofErr w:type="spellStart"/>
      <w:r w:rsidRPr="00ED62F6">
        <w:rPr>
          <w:rFonts w:ascii="Times New Roman" w:hAnsi="Times New Roman" w:cs="Times New Roman"/>
          <w:sz w:val="24"/>
          <w:szCs w:val="24"/>
        </w:rPr>
        <w:t>nn</w:t>
      </w:r>
      <w:proofErr w:type="spellEnd"/>
      <w:r w:rsidRPr="00ED62F6">
        <w:rPr>
          <w:rFonts w:ascii="Times New Roman" w:hAnsi="Times New Roman" w:cs="Times New Roman"/>
          <w:sz w:val="24"/>
          <w:szCs w:val="24"/>
        </w:rPr>
        <w:t>. 1717/2009, 1153/2013).</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lastRenderedPageBreak/>
        <w:t>In subordine, l</w:t>
      </w:r>
      <w:r w:rsidR="004E4637" w:rsidRPr="00ED62F6">
        <w:rPr>
          <w:rFonts w:ascii="Times New Roman" w:hAnsi="Times New Roman" w:cs="Times New Roman"/>
          <w:sz w:val="24"/>
          <w:szCs w:val="24"/>
        </w:rPr>
        <w:t>’</w:t>
      </w:r>
      <w:r w:rsidRPr="00ED62F6">
        <w:rPr>
          <w:rFonts w:ascii="Times New Roman" w:hAnsi="Times New Roman" w:cs="Times New Roman"/>
          <w:sz w:val="24"/>
          <w:szCs w:val="24"/>
        </w:rPr>
        <w:t>elemento tipico che contraddistingue il rapporto di lavoro subordinato è costituito dalla subordinazione, intesa, come innanzi detto, quale disponibilità del prestatore nei confronti del datore di lavoro, con assoggettamento alle direttive dallo stesso impartite circa le modalità di esecuzione dell</w:t>
      </w:r>
      <w:r w:rsidR="004E4637" w:rsidRPr="00ED62F6">
        <w:rPr>
          <w:rFonts w:ascii="Times New Roman" w:hAnsi="Times New Roman" w:cs="Times New Roman"/>
          <w:sz w:val="24"/>
          <w:szCs w:val="24"/>
        </w:rPr>
        <w:t>’</w:t>
      </w:r>
      <w:r w:rsidRPr="00ED62F6">
        <w:rPr>
          <w:rFonts w:ascii="Times New Roman" w:hAnsi="Times New Roman" w:cs="Times New Roman"/>
          <w:sz w:val="24"/>
          <w:szCs w:val="24"/>
        </w:rPr>
        <w:t xml:space="preserve">attività lavorativa; mentre, è stato pure precisato, altri </w:t>
      </w:r>
      <w:bookmarkStart w:id="2" w:name="_Hlk6326565"/>
      <w:r w:rsidRPr="00ED62F6">
        <w:rPr>
          <w:rFonts w:ascii="Times New Roman" w:hAnsi="Times New Roman" w:cs="Times New Roman"/>
          <w:sz w:val="24"/>
          <w:szCs w:val="24"/>
        </w:rPr>
        <w:t>elementi - come l</w:t>
      </w:r>
      <w:r w:rsidR="004E4637" w:rsidRPr="00ED62F6">
        <w:rPr>
          <w:rFonts w:ascii="Times New Roman" w:hAnsi="Times New Roman" w:cs="Times New Roman"/>
          <w:sz w:val="24"/>
          <w:szCs w:val="24"/>
        </w:rPr>
        <w:t>’</w:t>
      </w:r>
      <w:r w:rsidRPr="00ED62F6">
        <w:rPr>
          <w:rFonts w:ascii="Times New Roman" w:hAnsi="Times New Roman" w:cs="Times New Roman"/>
          <w:sz w:val="24"/>
          <w:szCs w:val="24"/>
        </w:rPr>
        <w:t xml:space="preserve">assenza del rischio economico, il luogo della prestazione, la forma della retribuzione e la stessa collaborazione - possono avere solo valore indicativo e non determinante </w:t>
      </w:r>
      <w:bookmarkEnd w:id="2"/>
      <w:r w:rsidRPr="00ED62F6">
        <w:rPr>
          <w:rFonts w:ascii="Times New Roman" w:hAnsi="Times New Roman" w:cs="Times New Roman"/>
          <w:sz w:val="24"/>
          <w:szCs w:val="24"/>
        </w:rPr>
        <w:t xml:space="preserve">(v. Cass. n. 7171/2003), costituendo quegli elementi, </w:t>
      </w:r>
      <w:r w:rsidRPr="00ED62F6">
        <w:rPr>
          <w:rFonts w:ascii="Times New Roman" w:hAnsi="Times New Roman" w:cs="Times New Roman"/>
          <w:i/>
          <w:sz w:val="24"/>
          <w:szCs w:val="24"/>
        </w:rPr>
        <w:t>ex se</w:t>
      </w:r>
      <w:r w:rsidRPr="00ED62F6">
        <w:rPr>
          <w:rFonts w:ascii="Times New Roman" w:hAnsi="Times New Roman" w:cs="Times New Roman"/>
          <w:sz w:val="24"/>
          <w:szCs w:val="24"/>
        </w:rPr>
        <w:t>, solo fattori che, seppur rilevanti nella ricostruzione del rapporto, possono in astratto conciliarsi sia con 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una che con 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 xml:space="preserve">altra qualificazione del rapporto stesso (fra le altre - e già da epoca risalente - Cass. </w:t>
      </w:r>
      <w:proofErr w:type="spellStart"/>
      <w:r w:rsidRPr="00ED62F6">
        <w:rPr>
          <w:rFonts w:ascii="Times New Roman" w:hAnsi="Times New Roman" w:cs="Times New Roman"/>
          <w:sz w:val="24"/>
          <w:szCs w:val="24"/>
        </w:rPr>
        <w:t>nn</w:t>
      </w:r>
      <w:proofErr w:type="spellEnd"/>
      <w:r w:rsidRPr="00ED62F6">
        <w:rPr>
          <w:rFonts w:ascii="Times New Roman" w:hAnsi="Times New Roman" w:cs="Times New Roman"/>
          <w:sz w:val="24"/>
          <w:szCs w:val="24"/>
        </w:rPr>
        <w:t>. 7796/1993; 4131/1984).</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Ciò precisato, è da aggiungere che, anche in ordine alla questione relativa alla qualificazione del rapporto contrattualmente operata, sovviene 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insegnamento della giurisprudenza di legittimità. Alla cui stregua, onde pervenire alla identificazione della natura del rapporto come autonomo o subordinato, non si può prescindere dalla ricerca della volontà delle parti, dovendosi tra 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altro tener conto del relativo reciproco affidamento e di quanto dalle stesse voluto nell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esercizio della loro autonomia contrattuale.</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Pertanto, quando i contraenti abbiano dichiarato di volere escludere 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elemento della subordinazione, specie nei casi caratterizzati dalla presenza di elementi compatibili sia con 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uno che con 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altro tipo di prestazione d</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opera, è possibile addivenire ad una diversa qualificazione so</w:t>
      </w:r>
      <w:r w:rsidR="0096394C" w:rsidRPr="00ED62F6">
        <w:rPr>
          <w:rFonts w:ascii="Times New Roman" w:hAnsi="Times New Roman" w:cs="Times New Roman"/>
          <w:sz w:val="24"/>
          <w:szCs w:val="24"/>
        </w:rPr>
        <w:t>l</w:t>
      </w:r>
      <w:r w:rsidRPr="00ED62F6">
        <w:rPr>
          <w:rFonts w:ascii="Times New Roman" w:hAnsi="Times New Roman" w:cs="Times New Roman"/>
          <w:sz w:val="24"/>
          <w:szCs w:val="24"/>
        </w:rPr>
        <w:t>o ove si dimostri che, in concreto, 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 xml:space="preserve">elemento della subordinazione si sia di fatto realizzato nello svolgimento del rapporto medesimo (v., fra le molte, e già da epoca meno recente, Cass. </w:t>
      </w:r>
      <w:proofErr w:type="spellStart"/>
      <w:r w:rsidRPr="00ED62F6">
        <w:rPr>
          <w:rFonts w:ascii="Times New Roman" w:hAnsi="Times New Roman" w:cs="Times New Roman"/>
          <w:sz w:val="24"/>
          <w:szCs w:val="24"/>
        </w:rPr>
        <w:t>nn</w:t>
      </w:r>
      <w:proofErr w:type="spellEnd"/>
      <w:r w:rsidRPr="00ED62F6">
        <w:rPr>
          <w:rFonts w:ascii="Times New Roman" w:hAnsi="Times New Roman" w:cs="Times New Roman"/>
          <w:sz w:val="24"/>
          <w:szCs w:val="24"/>
        </w:rPr>
        <w:t>. 4220/1991; 12926/1999).</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 xml:space="preserve">Il </w:t>
      </w:r>
      <w:proofErr w:type="spellStart"/>
      <w:r w:rsidRPr="00ED62F6">
        <w:rPr>
          <w:rFonts w:ascii="Times New Roman" w:hAnsi="Times New Roman" w:cs="Times New Roman"/>
          <w:i/>
          <w:sz w:val="24"/>
          <w:szCs w:val="24"/>
        </w:rPr>
        <w:t>nomen</w:t>
      </w:r>
      <w:proofErr w:type="spellEnd"/>
      <w:r w:rsidRPr="00ED62F6">
        <w:rPr>
          <w:rFonts w:ascii="Times New Roman" w:hAnsi="Times New Roman" w:cs="Times New Roman"/>
          <w:i/>
          <w:sz w:val="24"/>
          <w:szCs w:val="24"/>
        </w:rPr>
        <w:t xml:space="preserve"> iuris</w:t>
      </w:r>
      <w:r w:rsidRPr="00ED62F6">
        <w:rPr>
          <w:rFonts w:ascii="Times New Roman" w:hAnsi="Times New Roman" w:cs="Times New Roman"/>
          <w:sz w:val="24"/>
          <w:szCs w:val="24"/>
        </w:rPr>
        <w:t xml:space="preserve"> eventualmente assegnato dalle parti al contratto non è quindi vincolante per il giudice ed è comunque sempre superabile in presenza di effettive, univoche, diverse modalità di adempimento della prestazione (Cass. n. 812/1993).</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Al proposito, la Corte di legittimità ha avuto, altresì, modo di ribadire che, ai fini della individuazione della c.d. natura giuridica del rapporto, il primario parametro distintivo della subordinazione deve essere necessariamente accertato o escluso mediante il ricorso ad elementi sussidiari che il giudice deve individuare in concreto, dando prevalenza ai dati fattuali emergenti dall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 xml:space="preserve">effettivo svolgimento del rapporto, essendo </w:t>
      </w:r>
      <w:bookmarkStart w:id="3" w:name="_Hlk6327149"/>
      <w:r w:rsidRPr="00ED62F6">
        <w:rPr>
          <w:rFonts w:ascii="Times New Roman" w:hAnsi="Times New Roman" w:cs="Times New Roman"/>
          <w:sz w:val="24"/>
          <w:szCs w:val="24"/>
        </w:rPr>
        <w:t>il comportamento delle parti posteriore alla conclusione del contratto elemento necessario non solo ai fini della sua interpretazione (ai sensi dell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art. 1362 c.c., comma 2), ma anche ai fini dell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accertamento di una nuova e diversa volontà eventualmente intervenuta nel corso dell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attuazione del rapporto e diretta a modificare singole sue clausole e talora la stessa natura del rapporto lavorativo inizialmente prevista, da autonoma a subordinata; con la conseguenza che, in caso di contrasto fra i dati formali iniziali di individuazione della natura del rapporto e quelli di fatto emergenti dal suo concreto svolgimento, a questi ultimi deve darsi necessariamente rilievo prevalente nell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 xml:space="preserve">ambito di una richiesta di tutela formulata tra le parti del contratto (Cass. </w:t>
      </w:r>
      <w:proofErr w:type="spellStart"/>
      <w:r w:rsidRPr="00ED62F6">
        <w:rPr>
          <w:rFonts w:ascii="Times New Roman" w:hAnsi="Times New Roman" w:cs="Times New Roman"/>
          <w:sz w:val="24"/>
          <w:szCs w:val="24"/>
        </w:rPr>
        <w:t>nn</w:t>
      </w:r>
      <w:proofErr w:type="spellEnd"/>
      <w:r w:rsidRPr="00ED62F6">
        <w:rPr>
          <w:rFonts w:ascii="Times New Roman" w:hAnsi="Times New Roman" w:cs="Times New Roman"/>
          <w:sz w:val="24"/>
          <w:szCs w:val="24"/>
        </w:rPr>
        <w:t>. 4770/2003; 5960/1999). Del resto, come è stato osservato, il ricorso al dato della concretezza e della effettività appare condivisibile anche sotto altro angolo visuale, ossia in considerazione della posizione debole di uno dei contraenti, che potrebbe essere indotto ad accettare una qualifica del rapporto diversa da quella reale pur di garantirsi un posto di lavoro</w:t>
      </w:r>
      <w:bookmarkEnd w:id="3"/>
      <w:r w:rsidRPr="00ED62F6">
        <w:rPr>
          <w:rFonts w:ascii="Times New Roman" w:hAnsi="Times New Roman" w:cs="Times New Roman"/>
          <w:sz w:val="24"/>
          <w:szCs w:val="24"/>
        </w:rPr>
        <w:t>.</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 xml:space="preserve">Più di recente, con la sentenza n. 7024/2015, questa Corte ha ribadito che gli </w:t>
      </w:r>
      <w:bookmarkStart w:id="4" w:name="_Hlk6327662"/>
      <w:r w:rsidRPr="00ED62F6">
        <w:rPr>
          <w:rFonts w:ascii="Times New Roman" w:hAnsi="Times New Roman" w:cs="Times New Roman"/>
          <w:sz w:val="24"/>
          <w:szCs w:val="24"/>
        </w:rPr>
        <w:t>indici di subordinazione sono dati dalla retribuzione fissa mensile in relazione sinallagmatica con la prestazione lavorativa; 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orario di lavoro fisso e continuativo; la continuità della prestazione in funzione di collegamento tecnico organizzativo e produttivo con le esigenze aziendali; il vincolo di soggezione personale del lavoratore al potere organizzativo, direttivo e disciplinare del datore di lavoro, con conseguente limitazione della sua autonomia; 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inserimento nell</w:t>
      </w:r>
      <w:r w:rsidR="0096394C" w:rsidRPr="00ED62F6">
        <w:rPr>
          <w:rFonts w:ascii="Times New Roman" w:hAnsi="Times New Roman" w:cs="Times New Roman"/>
          <w:sz w:val="24"/>
          <w:szCs w:val="24"/>
        </w:rPr>
        <w:t>’</w:t>
      </w:r>
      <w:r w:rsidRPr="00ED62F6">
        <w:rPr>
          <w:rFonts w:ascii="Times New Roman" w:hAnsi="Times New Roman" w:cs="Times New Roman"/>
          <w:sz w:val="24"/>
          <w:szCs w:val="24"/>
        </w:rPr>
        <w:t>organizzazione aziendale.</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E sul lavoratore che intenda rivendicare in giudizio l</w:t>
      </w:r>
      <w:r w:rsidR="00293052" w:rsidRPr="00ED62F6">
        <w:rPr>
          <w:rFonts w:ascii="Times New Roman" w:hAnsi="Times New Roman" w:cs="Times New Roman"/>
          <w:sz w:val="24"/>
          <w:szCs w:val="24"/>
        </w:rPr>
        <w:t>’</w:t>
      </w:r>
      <w:r w:rsidRPr="00ED62F6">
        <w:rPr>
          <w:rFonts w:ascii="Times New Roman" w:hAnsi="Times New Roman" w:cs="Times New Roman"/>
          <w:sz w:val="24"/>
          <w:szCs w:val="24"/>
        </w:rPr>
        <w:t>esistenza di un rapporto di lavoro subordinato grava l</w:t>
      </w:r>
      <w:r w:rsidR="00293052" w:rsidRPr="00ED62F6">
        <w:rPr>
          <w:rFonts w:ascii="Times New Roman" w:hAnsi="Times New Roman" w:cs="Times New Roman"/>
          <w:sz w:val="24"/>
          <w:szCs w:val="24"/>
        </w:rPr>
        <w:t>’</w:t>
      </w:r>
      <w:r w:rsidRPr="00ED62F6">
        <w:rPr>
          <w:rFonts w:ascii="Times New Roman" w:hAnsi="Times New Roman" w:cs="Times New Roman"/>
          <w:sz w:val="24"/>
          <w:szCs w:val="24"/>
        </w:rPr>
        <w:t>onere di fornire gli elementi di fatto corrispondenti alla fattispecie astratta invocata (cfr., tra le molte, Cass. n. 11937/2009).</w:t>
      </w:r>
    </w:p>
    <w:bookmarkEnd w:id="4"/>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lastRenderedPageBreak/>
        <w:t xml:space="preserve">Tutto ciò premesso, deve osservarsi che, nella fattispecie, la Corte di merito ha tenuto conto che il lavoratore non ha fornito la prova relativa al requisito della eterodirezione; ha esaminato gli elementi qualificanti la subordinazione, quali enunciati dalla Corte di legittimità, pervenendo (come innanzi già sottolineato) attraverso la delibazione dei punti di emersione probatoria ed alla luce dei richiamati, costanti insegnamenti giurisprudenziali con un </w:t>
      </w:r>
      <w:r w:rsidRPr="00ED62F6">
        <w:rPr>
          <w:rFonts w:ascii="Times New Roman" w:hAnsi="Times New Roman" w:cs="Times New Roman"/>
          <w:i/>
          <w:sz w:val="24"/>
          <w:szCs w:val="24"/>
        </w:rPr>
        <w:t>iter</w:t>
      </w:r>
      <w:r w:rsidRPr="00ED62F6">
        <w:rPr>
          <w:rFonts w:ascii="Times New Roman" w:hAnsi="Times New Roman" w:cs="Times New Roman"/>
          <w:sz w:val="24"/>
          <w:szCs w:val="24"/>
        </w:rPr>
        <w:t xml:space="preserve"> motivazionale del tutto coerente, ad escluderne la sussistenza con riferimento alla fattispecie.</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9. Il quarto motivo non è meritevole di accoglimento per tutto quanto in precedenza osservato.</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10. Il quinto motivo non può essere accolto.</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Invero, anche prescindendo dall</w:t>
      </w:r>
      <w:r w:rsidR="00293052" w:rsidRPr="00ED62F6">
        <w:rPr>
          <w:rFonts w:ascii="Times New Roman" w:hAnsi="Times New Roman" w:cs="Times New Roman"/>
          <w:sz w:val="24"/>
          <w:szCs w:val="24"/>
        </w:rPr>
        <w:t>’</w:t>
      </w:r>
      <w:r w:rsidRPr="00ED62F6">
        <w:rPr>
          <w:rFonts w:ascii="Times New Roman" w:hAnsi="Times New Roman" w:cs="Times New Roman"/>
          <w:sz w:val="24"/>
          <w:szCs w:val="24"/>
        </w:rPr>
        <w:t xml:space="preserve">erroneità del parametro adoperato (il </w:t>
      </w:r>
      <w:r w:rsidR="00293052" w:rsidRPr="00ED62F6">
        <w:rPr>
          <w:rFonts w:ascii="Times New Roman" w:hAnsi="Times New Roman" w:cs="Times New Roman"/>
          <w:sz w:val="24"/>
          <w:szCs w:val="24"/>
        </w:rPr>
        <w:t xml:space="preserve">n. 5 </w:t>
      </w:r>
      <w:r w:rsidRPr="00ED62F6">
        <w:rPr>
          <w:rFonts w:ascii="Times New Roman" w:hAnsi="Times New Roman" w:cs="Times New Roman"/>
          <w:sz w:val="24"/>
          <w:szCs w:val="24"/>
        </w:rPr>
        <w:t>dell</w:t>
      </w:r>
      <w:r w:rsidR="00293052" w:rsidRPr="00ED62F6">
        <w:rPr>
          <w:rFonts w:ascii="Times New Roman" w:hAnsi="Times New Roman" w:cs="Times New Roman"/>
          <w:sz w:val="24"/>
          <w:szCs w:val="24"/>
        </w:rPr>
        <w:t>’</w:t>
      </w:r>
      <w:r w:rsidRPr="00ED62F6">
        <w:rPr>
          <w:rFonts w:ascii="Times New Roman" w:hAnsi="Times New Roman" w:cs="Times New Roman"/>
          <w:sz w:val="24"/>
          <w:szCs w:val="24"/>
        </w:rPr>
        <w:t>art. 360 c.p.c., anzich</w:t>
      </w:r>
      <w:r w:rsidR="00293052" w:rsidRPr="00ED62F6">
        <w:rPr>
          <w:rFonts w:ascii="Times New Roman" w:hAnsi="Times New Roman" w:cs="Times New Roman"/>
          <w:sz w:val="24"/>
          <w:szCs w:val="24"/>
        </w:rPr>
        <w:t>é</w:t>
      </w:r>
      <w:r w:rsidRPr="00ED62F6">
        <w:rPr>
          <w:rFonts w:ascii="Times New Roman" w:hAnsi="Times New Roman" w:cs="Times New Roman"/>
          <w:sz w:val="24"/>
          <w:szCs w:val="24"/>
        </w:rPr>
        <w:t xml:space="preserve"> il n. 3 dello stesso articolo, trattandosi, all</w:t>
      </w:r>
      <w:r w:rsidR="00293052" w:rsidRPr="00ED62F6">
        <w:rPr>
          <w:rFonts w:ascii="Times New Roman" w:hAnsi="Times New Roman" w:cs="Times New Roman"/>
          <w:sz w:val="24"/>
          <w:szCs w:val="24"/>
        </w:rPr>
        <w:t>’</w:t>
      </w:r>
      <w:r w:rsidRPr="00ED62F6">
        <w:rPr>
          <w:rFonts w:ascii="Times New Roman" w:hAnsi="Times New Roman" w:cs="Times New Roman"/>
          <w:sz w:val="24"/>
          <w:szCs w:val="24"/>
        </w:rPr>
        <w:t>evidenza, di una eventuale violazione di legge, come più volte evidenziato dalla giurisprudenza di legittimità), i giudici di merito hanno correttamente applicato il criterio della soccombenza. Ed il giudice ha l</w:t>
      </w:r>
      <w:r w:rsidR="00293052" w:rsidRPr="00ED62F6">
        <w:rPr>
          <w:rFonts w:ascii="Times New Roman" w:hAnsi="Times New Roman" w:cs="Times New Roman"/>
          <w:sz w:val="24"/>
          <w:szCs w:val="24"/>
        </w:rPr>
        <w:t>’</w:t>
      </w:r>
      <w:r w:rsidRPr="00ED62F6">
        <w:rPr>
          <w:rFonts w:ascii="Times New Roman" w:hAnsi="Times New Roman" w:cs="Times New Roman"/>
          <w:sz w:val="24"/>
          <w:szCs w:val="24"/>
        </w:rPr>
        <w:t>obbligo di espressa motivazione, in tema di spese processuali, solo nel caso di compensazione e non già quando applica la regola della soccombenza (cfr., tra le molte, Cass. n. 2730/2012).</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11. Per tutto quanto esposto, il ricorso va rigettato.</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 xml:space="preserve">12. Le spese, liquidate come in dispositivo, seguono la soccombenza. </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P.Q.M.</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La Corte rigetta il ricorso; condanna il ricorrente al pagamento delle spese del giudizio di legittimità, liquidate in Euro 4.200,00, di cui Euro 200,00 per esborsi, oltre spese generali nella misura del 15% ed accessori come per legge.</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Così deciso in Roma, il 5 luglio 2017.</w:t>
      </w:r>
    </w:p>
    <w:p w:rsidR="002511DA" w:rsidRPr="00ED62F6" w:rsidRDefault="002511DA" w:rsidP="009171D9">
      <w:pPr>
        <w:spacing w:line="240" w:lineRule="auto"/>
        <w:jc w:val="both"/>
        <w:rPr>
          <w:rFonts w:ascii="Times New Roman" w:hAnsi="Times New Roman" w:cs="Times New Roman"/>
          <w:sz w:val="24"/>
          <w:szCs w:val="24"/>
        </w:rPr>
      </w:pPr>
      <w:r w:rsidRPr="00ED62F6">
        <w:rPr>
          <w:rFonts w:ascii="Times New Roman" w:hAnsi="Times New Roman" w:cs="Times New Roman"/>
          <w:sz w:val="24"/>
          <w:szCs w:val="24"/>
        </w:rPr>
        <w:t>Depositato in Cancelleria il 11 luglio 2018</w:t>
      </w:r>
      <w:r w:rsidR="00293052" w:rsidRPr="00ED62F6">
        <w:rPr>
          <w:rFonts w:ascii="Times New Roman" w:hAnsi="Times New Roman" w:cs="Times New Roman"/>
          <w:sz w:val="24"/>
          <w:szCs w:val="24"/>
        </w:rPr>
        <w:t>.</w:t>
      </w:r>
    </w:p>
    <w:p w:rsidR="00FF4F23" w:rsidRPr="00ED62F6" w:rsidRDefault="00FF4F23" w:rsidP="009171D9">
      <w:pPr>
        <w:spacing w:line="240" w:lineRule="auto"/>
        <w:jc w:val="both"/>
        <w:rPr>
          <w:rFonts w:ascii="Times New Roman" w:hAnsi="Times New Roman" w:cs="Times New Roman"/>
          <w:i/>
          <w:sz w:val="24"/>
          <w:szCs w:val="24"/>
        </w:rPr>
      </w:pPr>
    </w:p>
    <w:p w:rsidR="00620BF8" w:rsidRPr="00ED62F6" w:rsidRDefault="00620BF8" w:rsidP="009171D9">
      <w:pPr>
        <w:spacing w:line="240" w:lineRule="auto"/>
        <w:jc w:val="right"/>
        <w:rPr>
          <w:rFonts w:ascii="Times New Roman" w:hAnsi="Times New Roman" w:cs="Times New Roman"/>
          <w:sz w:val="24"/>
          <w:szCs w:val="24"/>
        </w:rPr>
      </w:pPr>
    </w:p>
    <w:sectPr w:rsidR="00620BF8" w:rsidRPr="00ED62F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5E0" w:rsidRDefault="000865E0" w:rsidP="00A504A7">
      <w:pPr>
        <w:spacing w:after="0" w:line="240" w:lineRule="auto"/>
      </w:pPr>
      <w:r>
        <w:separator/>
      </w:r>
    </w:p>
  </w:endnote>
  <w:endnote w:type="continuationSeparator" w:id="0">
    <w:p w:rsidR="000865E0" w:rsidRDefault="000865E0" w:rsidP="00A50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5E0" w:rsidRDefault="000865E0" w:rsidP="00A504A7">
      <w:pPr>
        <w:spacing w:after="0" w:line="240" w:lineRule="auto"/>
      </w:pPr>
      <w:r>
        <w:separator/>
      </w:r>
    </w:p>
  </w:footnote>
  <w:footnote w:type="continuationSeparator" w:id="0">
    <w:p w:rsidR="000865E0" w:rsidRDefault="000865E0" w:rsidP="00A50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53BB3"/>
    <w:multiLevelType w:val="hybridMultilevel"/>
    <w:tmpl w:val="D26AC74C"/>
    <w:lvl w:ilvl="0" w:tplc="D9B8132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E7237C"/>
    <w:multiLevelType w:val="hybridMultilevel"/>
    <w:tmpl w:val="517A086A"/>
    <w:lvl w:ilvl="0" w:tplc="D9B8132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CD7BEF"/>
    <w:multiLevelType w:val="hybridMultilevel"/>
    <w:tmpl w:val="F5AEB2C4"/>
    <w:lvl w:ilvl="0" w:tplc="D9B8132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0E96DA5"/>
    <w:multiLevelType w:val="hybridMultilevel"/>
    <w:tmpl w:val="BDD05A92"/>
    <w:lvl w:ilvl="0" w:tplc="D9B8132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61C5AEB"/>
    <w:multiLevelType w:val="hybridMultilevel"/>
    <w:tmpl w:val="E3D2B2F8"/>
    <w:lvl w:ilvl="0" w:tplc="D9B8132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A4126F6"/>
    <w:multiLevelType w:val="hybridMultilevel"/>
    <w:tmpl w:val="53541D6A"/>
    <w:lvl w:ilvl="0" w:tplc="D9B8132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4449D3"/>
    <w:multiLevelType w:val="hybridMultilevel"/>
    <w:tmpl w:val="90D01D62"/>
    <w:lvl w:ilvl="0" w:tplc="D9B8132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672293"/>
    <w:multiLevelType w:val="hybridMultilevel"/>
    <w:tmpl w:val="8FF67804"/>
    <w:lvl w:ilvl="0" w:tplc="8B84BF9E">
      <w:start w:val="4"/>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num w:numId="1">
    <w:abstractNumId w:val="3"/>
  </w:num>
  <w:num w:numId="2">
    <w:abstractNumId w:val="7"/>
  </w:num>
  <w:num w:numId="3">
    <w:abstractNumId w:val="5"/>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15"/>
    <w:rsid w:val="00036112"/>
    <w:rsid w:val="0005659B"/>
    <w:rsid w:val="000636CF"/>
    <w:rsid w:val="000657BF"/>
    <w:rsid w:val="000835B7"/>
    <w:rsid w:val="000865E0"/>
    <w:rsid w:val="0008709C"/>
    <w:rsid w:val="000A17D0"/>
    <w:rsid w:val="000B17B4"/>
    <w:rsid w:val="000B4FC1"/>
    <w:rsid w:val="000B71F5"/>
    <w:rsid w:val="000E19D5"/>
    <w:rsid w:val="000E5113"/>
    <w:rsid w:val="000E6CFF"/>
    <w:rsid w:val="00132188"/>
    <w:rsid w:val="00154C42"/>
    <w:rsid w:val="001747BF"/>
    <w:rsid w:val="00187E14"/>
    <w:rsid w:val="0019106A"/>
    <w:rsid w:val="001919F5"/>
    <w:rsid w:val="00192B17"/>
    <w:rsid w:val="0019740C"/>
    <w:rsid w:val="001979BE"/>
    <w:rsid w:val="001A2892"/>
    <w:rsid w:val="001A6379"/>
    <w:rsid w:val="001C7FBF"/>
    <w:rsid w:val="001D25F0"/>
    <w:rsid w:val="001D4C7B"/>
    <w:rsid w:val="001D6689"/>
    <w:rsid w:val="001E7C96"/>
    <w:rsid w:val="001F0416"/>
    <w:rsid w:val="001F1A68"/>
    <w:rsid w:val="001F4A92"/>
    <w:rsid w:val="001F5A76"/>
    <w:rsid w:val="00202C47"/>
    <w:rsid w:val="002174BA"/>
    <w:rsid w:val="00235198"/>
    <w:rsid w:val="0023772C"/>
    <w:rsid w:val="002404BE"/>
    <w:rsid w:val="00241B89"/>
    <w:rsid w:val="00250126"/>
    <w:rsid w:val="002511DA"/>
    <w:rsid w:val="002549AC"/>
    <w:rsid w:val="00267190"/>
    <w:rsid w:val="00275CE5"/>
    <w:rsid w:val="002808FC"/>
    <w:rsid w:val="00293052"/>
    <w:rsid w:val="002A03EB"/>
    <w:rsid w:val="002A0629"/>
    <w:rsid w:val="002A3AE7"/>
    <w:rsid w:val="002C726F"/>
    <w:rsid w:val="002D4FFB"/>
    <w:rsid w:val="002E1B52"/>
    <w:rsid w:val="002F0798"/>
    <w:rsid w:val="002F1259"/>
    <w:rsid w:val="002F2418"/>
    <w:rsid w:val="002F4A7E"/>
    <w:rsid w:val="00305A17"/>
    <w:rsid w:val="00317C35"/>
    <w:rsid w:val="00325309"/>
    <w:rsid w:val="003356EF"/>
    <w:rsid w:val="0035510C"/>
    <w:rsid w:val="0036113D"/>
    <w:rsid w:val="00363177"/>
    <w:rsid w:val="00367203"/>
    <w:rsid w:val="003705C0"/>
    <w:rsid w:val="003820D2"/>
    <w:rsid w:val="00383D85"/>
    <w:rsid w:val="003914AF"/>
    <w:rsid w:val="00396D5D"/>
    <w:rsid w:val="003C1F9C"/>
    <w:rsid w:val="003D28D6"/>
    <w:rsid w:val="003D2CE5"/>
    <w:rsid w:val="00404555"/>
    <w:rsid w:val="004046C2"/>
    <w:rsid w:val="00415773"/>
    <w:rsid w:val="0043388C"/>
    <w:rsid w:val="0044008C"/>
    <w:rsid w:val="00443395"/>
    <w:rsid w:val="00452B2E"/>
    <w:rsid w:val="0045582B"/>
    <w:rsid w:val="00463C36"/>
    <w:rsid w:val="00470068"/>
    <w:rsid w:val="0047040E"/>
    <w:rsid w:val="00480FAD"/>
    <w:rsid w:val="004854B8"/>
    <w:rsid w:val="004914ED"/>
    <w:rsid w:val="00497B89"/>
    <w:rsid w:val="004D098D"/>
    <w:rsid w:val="004D1D1A"/>
    <w:rsid w:val="004E4637"/>
    <w:rsid w:val="004E7951"/>
    <w:rsid w:val="004F1E62"/>
    <w:rsid w:val="004F7A34"/>
    <w:rsid w:val="00522D25"/>
    <w:rsid w:val="00526BD5"/>
    <w:rsid w:val="005424F3"/>
    <w:rsid w:val="0054477E"/>
    <w:rsid w:val="005567CC"/>
    <w:rsid w:val="00564DD6"/>
    <w:rsid w:val="005801F6"/>
    <w:rsid w:val="005819FC"/>
    <w:rsid w:val="00582703"/>
    <w:rsid w:val="00582A4F"/>
    <w:rsid w:val="00592FBA"/>
    <w:rsid w:val="00593BE5"/>
    <w:rsid w:val="0059650A"/>
    <w:rsid w:val="005A5F32"/>
    <w:rsid w:val="005B61D5"/>
    <w:rsid w:val="005D2D38"/>
    <w:rsid w:val="005E01B5"/>
    <w:rsid w:val="005E33E3"/>
    <w:rsid w:val="00603633"/>
    <w:rsid w:val="00612F3E"/>
    <w:rsid w:val="006172D2"/>
    <w:rsid w:val="00620BF8"/>
    <w:rsid w:val="0062147C"/>
    <w:rsid w:val="00623C35"/>
    <w:rsid w:val="00625215"/>
    <w:rsid w:val="006449A4"/>
    <w:rsid w:val="006616C1"/>
    <w:rsid w:val="0067121A"/>
    <w:rsid w:val="00671C73"/>
    <w:rsid w:val="00691B58"/>
    <w:rsid w:val="006B49B7"/>
    <w:rsid w:val="006B68F9"/>
    <w:rsid w:val="006C210D"/>
    <w:rsid w:val="006D3880"/>
    <w:rsid w:val="006D6EE2"/>
    <w:rsid w:val="006E0E9D"/>
    <w:rsid w:val="006E0F37"/>
    <w:rsid w:val="006E1B68"/>
    <w:rsid w:val="00701D33"/>
    <w:rsid w:val="00701F25"/>
    <w:rsid w:val="0071373A"/>
    <w:rsid w:val="00734777"/>
    <w:rsid w:val="00741548"/>
    <w:rsid w:val="00762449"/>
    <w:rsid w:val="00764536"/>
    <w:rsid w:val="00765A30"/>
    <w:rsid w:val="0076697A"/>
    <w:rsid w:val="007676D3"/>
    <w:rsid w:val="007751F0"/>
    <w:rsid w:val="00781B49"/>
    <w:rsid w:val="00792F82"/>
    <w:rsid w:val="0079476D"/>
    <w:rsid w:val="00795C89"/>
    <w:rsid w:val="00796B24"/>
    <w:rsid w:val="007A7CE4"/>
    <w:rsid w:val="007B70AD"/>
    <w:rsid w:val="007C4E8D"/>
    <w:rsid w:val="007C65E3"/>
    <w:rsid w:val="007C7032"/>
    <w:rsid w:val="007D3924"/>
    <w:rsid w:val="007D71CD"/>
    <w:rsid w:val="00813538"/>
    <w:rsid w:val="00823F5C"/>
    <w:rsid w:val="00827114"/>
    <w:rsid w:val="00841B78"/>
    <w:rsid w:val="0086454A"/>
    <w:rsid w:val="0087015F"/>
    <w:rsid w:val="008708A1"/>
    <w:rsid w:val="00882BD3"/>
    <w:rsid w:val="0089199F"/>
    <w:rsid w:val="008B51C2"/>
    <w:rsid w:val="008C4EE2"/>
    <w:rsid w:val="00905F05"/>
    <w:rsid w:val="00912702"/>
    <w:rsid w:val="00916953"/>
    <w:rsid w:val="009171D9"/>
    <w:rsid w:val="00917BA2"/>
    <w:rsid w:val="009277CD"/>
    <w:rsid w:val="0093157F"/>
    <w:rsid w:val="009365A1"/>
    <w:rsid w:val="0094184E"/>
    <w:rsid w:val="009418B9"/>
    <w:rsid w:val="0094198B"/>
    <w:rsid w:val="0094581B"/>
    <w:rsid w:val="009472F2"/>
    <w:rsid w:val="00950835"/>
    <w:rsid w:val="00950DFA"/>
    <w:rsid w:val="0096394C"/>
    <w:rsid w:val="00963CD7"/>
    <w:rsid w:val="0096434B"/>
    <w:rsid w:val="0096701F"/>
    <w:rsid w:val="00977A5C"/>
    <w:rsid w:val="009840C0"/>
    <w:rsid w:val="009852CC"/>
    <w:rsid w:val="00990C1A"/>
    <w:rsid w:val="009967FC"/>
    <w:rsid w:val="009A3FBE"/>
    <w:rsid w:val="009A4E5D"/>
    <w:rsid w:val="009A7224"/>
    <w:rsid w:val="009B246E"/>
    <w:rsid w:val="009B27EE"/>
    <w:rsid w:val="009B6A73"/>
    <w:rsid w:val="009B7A68"/>
    <w:rsid w:val="009C0850"/>
    <w:rsid w:val="009C7E12"/>
    <w:rsid w:val="009E3B39"/>
    <w:rsid w:val="00A0355E"/>
    <w:rsid w:val="00A05926"/>
    <w:rsid w:val="00A14344"/>
    <w:rsid w:val="00A37D55"/>
    <w:rsid w:val="00A448C9"/>
    <w:rsid w:val="00A504A7"/>
    <w:rsid w:val="00A57CC1"/>
    <w:rsid w:val="00A70D7B"/>
    <w:rsid w:val="00A86684"/>
    <w:rsid w:val="00A901EE"/>
    <w:rsid w:val="00AA1E68"/>
    <w:rsid w:val="00AC124D"/>
    <w:rsid w:val="00AC6D60"/>
    <w:rsid w:val="00AD4491"/>
    <w:rsid w:val="00AE6B7D"/>
    <w:rsid w:val="00AE7C9A"/>
    <w:rsid w:val="00AF3DF7"/>
    <w:rsid w:val="00AF7225"/>
    <w:rsid w:val="00AF7E46"/>
    <w:rsid w:val="00B00B83"/>
    <w:rsid w:val="00B155A6"/>
    <w:rsid w:val="00B15CED"/>
    <w:rsid w:val="00B30674"/>
    <w:rsid w:val="00B44F2A"/>
    <w:rsid w:val="00B456E5"/>
    <w:rsid w:val="00B52264"/>
    <w:rsid w:val="00B529CB"/>
    <w:rsid w:val="00B54CB7"/>
    <w:rsid w:val="00B76FCF"/>
    <w:rsid w:val="00B86D58"/>
    <w:rsid w:val="00B9563E"/>
    <w:rsid w:val="00B95D5A"/>
    <w:rsid w:val="00BB7AB5"/>
    <w:rsid w:val="00BC7D6C"/>
    <w:rsid w:val="00BD09CF"/>
    <w:rsid w:val="00BD1323"/>
    <w:rsid w:val="00BD3270"/>
    <w:rsid w:val="00BD4230"/>
    <w:rsid w:val="00BE2974"/>
    <w:rsid w:val="00BE5006"/>
    <w:rsid w:val="00C06E78"/>
    <w:rsid w:val="00C07F45"/>
    <w:rsid w:val="00C1505E"/>
    <w:rsid w:val="00C21D3D"/>
    <w:rsid w:val="00C25DD0"/>
    <w:rsid w:val="00C262BF"/>
    <w:rsid w:val="00C30264"/>
    <w:rsid w:val="00C3370C"/>
    <w:rsid w:val="00C43672"/>
    <w:rsid w:val="00C550C4"/>
    <w:rsid w:val="00C64055"/>
    <w:rsid w:val="00C81841"/>
    <w:rsid w:val="00C85E38"/>
    <w:rsid w:val="00C95288"/>
    <w:rsid w:val="00CA4591"/>
    <w:rsid w:val="00CB0E6C"/>
    <w:rsid w:val="00CB6999"/>
    <w:rsid w:val="00CC3605"/>
    <w:rsid w:val="00CC5D73"/>
    <w:rsid w:val="00CD1AF4"/>
    <w:rsid w:val="00CD6306"/>
    <w:rsid w:val="00CD7856"/>
    <w:rsid w:val="00D16095"/>
    <w:rsid w:val="00D16871"/>
    <w:rsid w:val="00D24581"/>
    <w:rsid w:val="00D260B5"/>
    <w:rsid w:val="00D54417"/>
    <w:rsid w:val="00D5446D"/>
    <w:rsid w:val="00D56EA7"/>
    <w:rsid w:val="00D61E0C"/>
    <w:rsid w:val="00D910C9"/>
    <w:rsid w:val="00D97A0C"/>
    <w:rsid w:val="00DA6C1C"/>
    <w:rsid w:val="00DB1453"/>
    <w:rsid w:val="00DC41B5"/>
    <w:rsid w:val="00DD0F21"/>
    <w:rsid w:val="00DE6A28"/>
    <w:rsid w:val="00DE6DD5"/>
    <w:rsid w:val="00E028DD"/>
    <w:rsid w:val="00E030D6"/>
    <w:rsid w:val="00E0489A"/>
    <w:rsid w:val="00E07D4D"/>
    <w:rsid w:val="00E111A8"/>
    <w:rsid w:val="00E17B8F"/>
    <w:rsid w:val="00E17DDE"/>
    <w:rsid w:val="00E22E07"/>
    <w:rsid w:val="00E27270"/>
    <w:rsid w:val="00E32E0C"/>
    <w:rsid w:val="00E32F75"/>
    <w:rsid w:val="00E37935"/>
    <w:rsid w:val="00E524F5"/>
    <w:rsid w:val="00E548ED"/>
    <w:rsid w:val="00E617A8"/>
    <w:rsid w:val="00E62757"/>
    <w:rsid w:val="00E719AE"/>
    <w:rsid w:val="00E75734"/>
    <w:rsid w:val="00E947FA"/>
    <w:rsid w:val="00EB50BC"/>
    <w:rsid w:val="00EB6144"/>
    <w:rsid w:val="00EC64AC"/>
    <w:rsid w:val="00ED00CB"/>
    <w:rsid w:val="00ED62F6"/>
    <w:rsid w:val="00ED77DC"/>
    <w:rsid w:val="00EF01D7"/>
    <w:rsid w:val="00EF13C7"/>
    <w:rsid w:val="00F1656F"/>
    <w:rsid w:val="00F21968"/>
    <w:rsid w:val="00F23A27"/>
    <w:rsid w:val="00F40D62"/>
    <w:rsid w:val="00F40E45"/>
    <w:rsid w:val="00F4382B"/>
    <w:rsid w:val="00F43BB3"/>
    <w:rsid w:val="00F46DEF"/>
    <w:rsid w:val="00F475B4"/>
    <w:rsid w:val="00F60DF5"/>
    <w:rsid w:val="00F61679"/>
    <w:rsid w:val="00F6252C"/>
    <w:rsid w:val="00F76DB1"/>
    <w:rsid w:val="00F771F6"/>
    <w:rsid w:val="00F931F7"/>
    <w:rsid w:val="00FA425B"/>
    <w:rsid w:val="00FA7DD0"/>
    <w:rsid w:val="00FA7F19"/>
    <w:rsid w:val="00FC16B5"/>
    <w:rsid w:val="00FD049F"/>
    <w:rsid w:val="00FD2A80"/>
    <w:rsid w:val="00FD427D"/>
    <w:rsid w:val="00FE106A"/>
    <w:rsid w:val="00FE19E2"/>
    <w:rsid w:val="00FF0F19"/>
    <w:rsid w:val="00FF1F31"/>
    <w:rsid w:val="00FF4F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808B"/>
  <w15:chartTrackingRefBased/>
  <w15:docId w15:val="{10C3CEC4-CA57-4426-BA79-E38FEB6D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5510C"/>
    <w:pPr>
      <w:ind w:left="720"/>
      <w:contextualSpacing/>
    </w:pPr>
  </w:style>
  <w:style w:type="paragraph" w:styleId="Testonotaapidipagina">
    <w:name w:val="footnote text"/>
    <w:basedOn w:val="Normale"/>
    <w:link w:val="TestonotaapidipaginaCarattere"/>
    <w:uiPriority w:val="99"/>
    <w:unhideWhenUsed/>
    <w:rsid w:val="00A504A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A504A7"/>
    <w:rPr>
      <w:sz w:val="20"/>
      <w:szCs w:val="20"/>
    </w:rPr>
  </w:style>
  <w:style w:type="character" w:styleId="Rimandonotaapidipagina">
    <w:name w:val="footnote reference"/>
    <w:basedOn w:val="Carpredefinitoparagrafo"/>
    <w:uiPriority w:val="99"/>
    <w:semiHidden/>
    <w:unhideWhenUsed/>
    <w:rsid w:val="00A504A7"/>
    <w:rPr>
      <w:vertAlign w:val="superscript"/>
    </w:rPr>
  </w:style>
  <w:style w:type="character" w:styleId="Testosegnaposto">
    <w:name w:val="Placeholder Text"/>
    <w:basedOn w:val="Carpredefinitoparagrafo"/>
    <w:uiPriority w:val="99"/>
    <w:semiHidden/>
    <w:rsid w:val="00B52264"/>
    <w:rPr>
      <w:color w:val="808080"/>
    </w:rPr>
  </w:style>
  <w:style w:type="paragraph" w:styleId="Intestazione">
    <w:name w:val="header"/>
    <w:basedOn w:val="Normale"/>
    <w:link w:val="IntestazioneCarattere"/>
    <w:uiPriority w:val="99"/>
    <w:unhideWhenUsed/>
    <w:rsid w:val="001D66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689"/>
  </w:style>
  <w:style w:type="paragraph" w:styleId="Pidipagina">
    <w:name w:val="footer"/>
    <w:basedOn w:val="Normale"/>
    <w:link w:val="PidipaginaCarattere"/>
    <w:uiPriority w:val="99"/>
    <w:unhideWhenUsed/>
    <w:rsid w:val="001D66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689"/>
  </w:style>
  <w:style w:type="paragraph" w:styleId="Testofumetto">
    <w:name w:val="Balloon Text"/>
    <w:basedOn w:val="Normale"/>
    <w:link w:val="TestofumettoCarattere"/>
    <w:uiPriority w:val="99"/>
    <w:semiHidden/>
    <w:unhideWhenUsed/>
    <w:rsid w:val="0026719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7190"/>
    <w:rPr>
      <w:rFonts w:ascii="Segoe UI" w:hAnsi="Segoe UI" w:cs="Segoe UI"/>
      <w:sz w:val="18"/>
      <w:szCs w:val="18"/>
    </w:rPr>
  </w:style>
  <w:style w:type="paragraph" w:styleId="Testonotadichiusura">
    <w:name w:val="endnote text"/>
    <w:basedOn w:val="Normale"/>
    <w:link w:val="TestonotadichiusuraCarattere"/>
    <w:uiPriority w:val="99"/>
    <w:semiHidden/>
    <w:unhideWhenUsed/>
    <w:rsid w:val="008708A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8708A1"/>
    <w:rPr>
      <w:sz w:val="20"/>
      <w:szCs w:val="20"/>
    </w:rPr>
  </w:style>
  <w:style w:type="character" w:styleId="Rimandonotadichiusura">
    <w:name w:val="endnote reference"/>
    <w:basedOn w:val="Carpredefinitoparagrafo"/>
    <w:uiPriority w:val="99"/>
    <w:semiHidden/>
    <w:unhideWhenUsed/>
    <w:rsid w:val="008708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5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5F661-7634-487C-B69F-BA16E99F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2801</Words>
  <Characters>15969</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Tescaro</dc:creator>
  <cp:keywords/>
  <dc:description/>
  <cp:lastModifiedBy>Mauro Tescaro</cp:lastModifiedBy>
  <cp:revision>4</cp:revision>
  <cp:lastPrinted>2018-05-08T10:29:00Z</cp:lastPrinted>
  <dcterms:created xsi:type="dcterms:W3CDTF">2019-05-07T08:07:00Z</dcterms:created>
  <dcterms:modified xsi:type="dcterms:W3CDTF">2019-05-07T08:38:00Z</dcterms:modified>
</cp:coreProperties>
</file>