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7FC5" w14:textId="77777777" w:rsidR="00BC4DBA" w:rsidRDefault="00BC4DBA">
      <w:pPr>
        <w:widowControl w:val="0"/>
        <w:autoSpaceDE w:val="0"/>
        <w:autoSpaceDN w:val="0"/>
        <w:adjustRightInd w:val="0"/>
        <w:spacing w:after="20" w:line="200" w:lineRule="atLeast"/>
        <w:rPr>
          <w:rFonts w:ascii="Verdana" w:hAnsi="Verdana" w:cs="Verdana"/>
          <w:b/>
          <w:bCs/>
          <w:color w:val="000000"/>
          <w:kern w:val="0"/>
          <w:sz w:val="20"/>
          <w:szCs w:val="20"/>
          <w:shd w:val="clear" w:color="auto" w:fill="FFFFFF"/>
        </w:rPr>
      </w:pPr>
      <w:bookmarkStart w:id="0" w:name="10SE0002634508"/>
      <w:bookmarkEnd w:id="0"/>
      <w:r>
        <w:rPr>
          <w:rFonts w:ascii="Verdana" w:hAnsi="Verdana" w:cs="Verdana"/>
          <w:b/>
          <w:bCs/>
          <w:color w:val="000000"/>
          <w:kern w:val="0"/>
          <w:sz w:val="20"/>
          <w:szCs w:val="20"/>
          <w:shd w:val="clear" w:color="auto" w:fill="FFFFFF"/>
        </w:rPr>
        <w:t>Cass. civ. Sez. II, Ord., (ud. 03/05/2022) 13-12-2022, n. 36397</w:t>
      </w:r>
    </w:p>
    <w:p w14:paraId="6B2E9F07" w14:textId="77777777" w:rsidR="00BC4DBA" w:rsidRDefault="00BC4DBA">
      <w:pPr>
        <w:widowControl w:val="0"/>
        <w:autoSpaceDE w:val="0"/>
        <w:autoSpaceDN w:val="0"/>
        <w:adjustRightInd w:val="0"/>
        <w:spacing w:after="20" w:line="200" w:lineRule="atLeast"/>
        <w:rPr>
          <w:rFonts w:ascii="Verdana" w:hAnsi="Verdana" w:cs="Verdana"/>
          <w:b/>
          <w:bCs/>
          <w:color w:val="000000"/>
          <w:kern w:val="0"/>
          <w:sz w:val="20"/>
          <w:szCs w:val="20"/>
          <w:shd w:val="clear" w:color="auto" w:fill="FFFFFF"/>
        </w:rPr>
      </w:pPr>
    </w:p>
    <w:p w14:paraId="7697B00C" w14:textId="77777777" w:rsidR="00BC4DBA" w:rsidRDefault="00BC4DBA">
      <w:pPr>
        <w:widowControl w:val="0"/>
        <w:autoSpaceDE w:val="0"/>
        <w:autoSpaceDN w:val="0"/>
        <w:adjustRightInd w:val="0"/>
        <w:spacing w:before="100" w:after="40" w:line="200" w:lineRule="atLeast"/>
        <w:ind w:left="200"/>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COMUNIONE E CONDOMINIO</w:t>
      </w:r>
    </w:p>
    <w:p w14:paraId="3449BAC4" w14:textId="77777777" w:rsidR="00BC4DBA" w:rsidRDefault="00BC4DBA">
      <w:pPr>
        <w:widowControl w:val="0"/>
        <w:autoSpaceDE w:val="0"/>
        <w:autoSpaceDN w:val="0"/>
        <w:adjustRightInd w:val="0"/>
        <w:spacing w:after="40" w:line="200" w:lineRule="atLeast"/>
        <w:ind w:left="400"/>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Assemblea dei condomini e deliberazioni</w:t>
      </w:r>
    </w:p>
    <w:p w14:paraId="0B8EB52B" w14:textId="77777777" w:rsidR="00BC4DBA" w:rsidRDefault="00BC4DBA">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7CC8DC6D" w14:textId="77777777" w:rsidR="00BC4DBA" w:rsidRDefault="00BC4DBA">
      <w:pPr>
        <w:widowControl w:val="0"/>
        <w:autoSpaceDE w:val="0"/>
        <w:autoSpaceDN w:val="0"/>
        <w:adjustRightInd w:val="0"/>
        <w:spacing w:after="200" w:line="200" w:lineRule="atLeast"/>
        <w:jc w:val="right"/>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Fatto Diritto P.Q.M.</w:t>
      </w:r>
    </w:p>
    <w:p w14:paraId="40BD4F70" w14:textId="77777777" w:rsidR="00BC4DBA" w:rsidRDefault="00BC4DBA">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REPUBBLICA ITALIANA</w:t>
      </w:r>
    </w:p>
    <w:p w14:paraId="399D4FAF" w14:textId="77777777" w:rsidR="00BC4DBA" w:rsidRDefault="00BC4DBA">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NOME DEL POPOLO ITALIANO</w:t>
      </w:r>
    </w:p>
    <w:p w14:paraId="6306B7CD" w14:textId="77777777" w:rsidR="00BC4DBA" w:rsidRDefault="00BC4DBA">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CORTE SUPREMA DI CASSAZIONE</w:t>
      </w:r>
    </w:p>
    <w:p w14:paraId="13C61B67" w14:textId="77777777" w:rsidR="00BC4DBA" w:rsidRDefault="00BC4DBA">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SEZIONE SECONDA CIVILE</w:t>
      </w:r>
    </w:p>
    <w:p w14:paraId="3215EF6C"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Comp</w:t>
      </w:r>
      <w:r>
        <w:rPr>
          <w:rFonts w:ascii="Verdana" w:hAnsi="Verdana" w:cs="Verdana"/>
          <w:color w:val="000000"/>
          <w:kern w:val="0"/>
          <w:sz w:val="20"/>
          <w:szCs w:val="20"/>
          <w:shd w:val="clear" w:color="auto" w:fill="FFFFFF"/>
        </w:rPr>
        <w:t>osta dagli Ill.mi Sigg.ri Magistrati:</w:t>
      </w:r>
    </w:p>
    <w:p w14:paraId="0E8ED422"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DI VIRGILIO Rosa Maria - Presidente -</w:t>
      </w:r>
    </w:p>
    <w:p w14:paraId="186CE449"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FALASCHI Milena - Consigliere -</w:t>
      </w:r>
    </w:p>
    <w:p w14:paraId="247E8662"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PAPA Patrizia - rel. Consigliere -</w:t>
      </w:r>
    </w:p>
    <w:p w14:paraId="24F62A7B"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SCARPA Antonio - Consigliere -</w:t>
      </w:r>
    </w:p>
    <w:p w14:paraId="12C87219"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POLETTI Dianora - Consigliere -</w:t>
      </w:r>
    </w:p>
    <w:p w14:paraId="2ECDF283"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ha pronunciato la seguente:</w:t>
      </w:r>
    </w:p>
    <w:p w14:paraId="2DDD65BB" w14:textId="77777777" w:rsidR="00BC4DBA" w:rsidRDefault="00BC4DBA">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ORDINANZA</w:t>
      </w:r>
    </w:p>
    <w:p w14:paraId="21947E1E"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sul ricorso 28595/2017 proposto da:</w:t>
      </w:r>
    </w:p>
    <w:p w14:paraId="58B70DCD"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A.A., elettivamente domiciliata in Roma, piazza Adriana 11, presso l'avv. Ugo Giurato, rappresentata e difesa dall'avv. Pietro Paterniti La Via,</w:t>
      </w:r>
      <w:r>
        <w:rPr>
          <w:rFonts w:ascii="Verdana" w:hAnsi="Verdana" w:cs="Verdana"/>
          <w:color w:val="000000"/>
          <w:kern w:val="0"/>
          <w:sz w:val="20"/>
          <w:szCs w:val="20"/>
          <w:shd w:val="clear" w:color="auto" w:fill="FFFFFF"/>
        </w:rPr>
        <w:t xml:space="preserve"> giusta procura in calce al ricorso con indicazione della pec;</w:t>
      </w:r>
    </w:p>
    <w:p w14:paraId="01996790"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ricorrente -</w:t>
      </w:r>
    </w:p>
    <w:p w14:paraId="7526BCFA" w14:textId="77777777" w:rsidR="00BC4DBA" w:rsidRDefault="00BC4DBA">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contro</w:t>
      </w:r>
    </w:p>
    <w:p w14:paraId="6A2CAF77"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CONDOMINIO (Omissis), in persona dell'amministratore pro tempore;</w:t>
      </w:r>
    </w:p>
    <w:p w14:paraId="4F545C25"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intimato -</w:t>
      </w:r>
    </w:p>
    <w:p w14:paraId="725FD134"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e POSTE ITALIANE Spa , in persona del legale rappresentante pro tempore;</w:t>
      </w:r>
    </w:p>
    <w:p w14:paraId="60E9A8F5"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intimata -</w:t>
      </w:r>
    </w:p>
    <w:p w14:paraId="7F039C96"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avvers</w:t>
      </w:r>
      <w:r>
        <w:rPr>
          <w:rFonts w:ascii="Verdana" w:hAnsi="Verdana" w:cs="Verdana"/>
          <w:color w:val="000000"/>
          <w:kern w:val="0"/>
          <w:sz w:val="20"/>
          <w:szCs w:val="20"/>
          <w:shd w:val="clear" w:color="auto" w:fill="FFFFFF"/>
        </w:rPr>
        <w:t>o la sentenza della Corte d'appello di Catania, n. 1641/2017, pubblicata in data 18/9/2017, notificata in data 29/9/2017;</w:t>
      </w:r>
    </w:p>
    <w:p w14:paraId="489B21AD"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udita la relazione della causa svolta nella Camera di consiglio del 3/5/2022 dal consigliere Dott. PATRIZIA PAPA;</w:t>
      </w:r>
    </w:p>
    <w:p w14:paraId="0267B501"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letta la memoria del</w:t>
      </w:r>
      <w:r>
        <w:rPr>
          <w:rFonts w:ascii="Verdana" w:hAnsi="Verdana" w:cs="Verdana"/>
          <w:color w:val="000000"/>
          <w:kern w:val="0"/>
          <w:sz w:val="20"/>
          <w:szCs w:val="20"/>
          <w:shd w:val="clear" w:color="auto" w:fill="FFFFFF"/>
        </w:rPr>
        <w:t>la ricorrente.</w:t>
      </w:r>
    </w:p>
    <w:p w14:paraId="5F97A1F5" w14:textId="77777777" w:rsidR="00BC4DBA" w:rsidRDefault="00BC4DBA">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Svolgimento del processo</w:t>
      </w:r>
    </w:p>
    <w:p w14:paraId="572D0F7E"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Con sentenza 301/2013 del 10 settembre 2013, il Tribunale di Catania sezione di Acireale dichiarò tardiva l'impugnazione, proposta da A.A., della Delibera del condominio "(Omissis)" del 22/9/2011, condannando la rico</w:t>
      </w:r>
      <w:r>
        <w:rPr>
          <w:rFonts w:ascii="Verdana" w:hAnsi="Verdana" w:cs="Verdana"/>
          <w:color w:val="000000"/>
          <w:kern w:val="0"/>
          <w:sz w:val="20"/>
          <w:szCs w:val="20"/>
          <w:shd w:val="clear" w:color="auto" w:fill="FFFFFF"/>
        </w:rPr>
        <w:t>rrente al pagamento delle spese in favore del condominio.</w:t>
      </w:r>
    </w:p>
    <w:p w14:paraId="76B83D4C"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Adita da A.A., nel contraddittorio con il Condominio e Poste Italiane, terza chiamata dal Condominio in primo grado, la Corte d'appello di Catania ritenne tempestiva l'impugnazione in riferimento al</w:t>
      </w:r>
      <w:r>
        <w:rPr>
          <w:rFonts w:ascii="Verdana" w:hAnsi="Verdana" w:cs="Verdana"/>
          <w:color w:val="000000"/>
          <w:kern w:val="0"/>
          <w:sz w:val="20"/>
          <w:szCs w:val="20"/>
          <w:shd w:val="clear" w:color="auto" w:fill="FFFFFF"/>
        </w:rPr>
        <w:t>la data in cui era stato ritirato il plico, rigettandone tuttavia nel merito tutti i motivi.</w:t>
      </w:r>
    </w:p>
    <w:p w14:paraId="1514755D"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Avverso questa sentenza ha spiegato ricorso per cassazione A.A., affidato a tre motivi; il Condominio e Poste Italiane sono rimasti intimati.</w:t>
      </w:r>
    </w:p>
    <w:p w14:paraId="4CE721DD" w14:textId="77777777" w:rsidR="00BC4DBA" w:rsidRDefault="00BC4DBA">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Motivi della decision</w:t>
      </w:r>
      <w:r>
        <w:rPr>
          <w:rFonts w:ascii="Verdana" w:hAnsi="Verdana" w:cs="Verdana"/>
          <w:color w:val="000000"/>
          <w:kern w:val="0"/>
          <w:sz w:val="20"/>
          <w:szCs w:val="20"/>
          <w:shd w:val="clear" w:color="auto" w:fill="FFFFFF"/>
        </w:rPr>
        <w:t>e</w:t>
      </w:r>
    </w:p>
    <w:p w14:paraId="5A0AF426"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1. Con il primo motivo, rubricato "nullità della sentenza per omessa pronuncia, violazione e falsa applicazione dell'art. 112 e del principio di corrispondenza tra chiesto e pronunciato ex art. 360 c.p.c., comma 1, n. 4", la ricorrente ha sostenuto che la </w:t>
      </w:r>
      <w:r>
        <w:rPr>
          <w:rFonts w:ascii="Verdana" w:hAnsi="Verdana" w:cs="Verdana"/>
          <w:color w:val="000000"/>
          <w:kern w:val="0"/>
          <w:sz w:val="20"/>
          <w:szCs w:val="20"/>
          <w:shd w:val="clear" w:color="auto" w:fill="FFFFFF"/>
        </w:rPr>
        <w:t>Corte territoriale avrebbe omesso di pronunciare sul primo motivo di impugnazione della Delibera e, cioè, sul denunciato vizio di convocazione; ha ribadito che ella avrebbe conosciuto della convocazione dell'assemblea per la data del 22 settembre 2011 solt</w:t>
      </w:r>
      <w:r>
        <w:rPr>
          <w:rFonts w:ascii="Verdana" w:hAnsi="Verdana" w:cs="Verdana"/>
          <w:color w:val="000000"/>
          <w:kern w:val="0"/>
          <w:sz w:val="20"/>
          <w:szCs w:val="20"/>
          <w:shd w:val="clear" w:color="auto" w:fill="FFFFFF"/>
        </w:rPr>
        <w:t>anto in data 20 settembre, casualmente, perchè l'avviso di giacenza della raccomandata di comunicazione della convocazione - che ha riconosciuto essere stato immesso nella sua cassetta il 9 settembre - sarebbe stato erroneamente compilato.</w:t>
      </w:r>
    </w:p>
    <w:p w14:paraId="71453FFA"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Con il secondo e</w:t>
      </w:r>
      <w:r>
        <w:rPr>
          <w:rFonts w:ascii="Verdana" w:hAnsi="Verdana" w:cs="Verdana"/>
          <w:color w:val="000000"/>
          <w:kern w:val="0"/>
          <w:sz w:val="20"/>
          <w:szCs w:val="20"/>
          <w:shd w:val="clear" w:color="auto" w:fill="FFFFFF"/>
        </w:rPr>
        <w:t xml:space="preserve"> terzo motivo, la ricorrente ha denunciato, in relazione all'art. 360 c.p.c., comma 1, n. 3, la violazione e falsa applicazione degli artt. 99, 100, 112, 115, 116 e 189 c.p.c., e la violazione e falsa </w:t>
      </w:r>
      <w:r>
        <w:rPr>
          <w:rFonts w:ascii="Verdana" w:hAnsi="Verdana" w:cs="Verdana"/>
          <w:color w:val="000000"/>
          <w:kern w:val="0"/>
          <w:sz w:val="20"/>
          <w:szCs w:val="20"/>
          <w:shd w:val="clear" w:color="auto" w:fill="FFFFFF"/>
        </w:rPr>
        <w:lastRenderedPageBreak/>
        <w:t xml:space="preserve">applicazione dei principi di economia processuale e di </w:t>
      </w:r>
      <w:r>
        <w:rPr>
          <w:rFonts w:ascii="Verdana" w:hAnsi="Verdana" w:cs="Verdana"/>
          <w:color w:val="000000"/>
          <w:kern w:val="0"/>
          <w:sz w:val="20"/>
          <w:szCs w:val="20"/>
          <w:shd w:val="clear" w:color="auto" w:fill="FFFFFF"/>
        </w:rPr>
        <w:t>celerità del giudizio, nonchè del principio della "ragione più liquida" espressi dagli art. 24 e 111 Cost., per avere la Corte distrettuale esaminato e deciso su eccezioni non più riproposte in appello e, in ogni caso, su motivi di impugnazione, dal second</w:t>
      </w:r>
      <w:r>
        <w:rPr>
          <w:rFonts w:ascii="Verdana" w:hAnsi="Verdana" w:cs="Verdana"/>
          <w:color w:val="000000"/>
          <w:kern w:val="0"/>
          <w:sz w:val="20"/>
          <w:szCs w:val="20"/>
          <w:shd w:val="clear" w:color="auto" w:fill="FFFFFF"/>
        </w:rPr>
        <w:t>o al settimo del ricorso, da esaminarsi soltanto in caso di rigetto delle censure svolte con il primo motivo su cui, invece, non vi è stata pronuncia.</w:t>
      </w:r>
    </w:p>
    <w:p w14:paraId="08B4426D"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2.1. Quanto al primo motivo, è vero che la Corte territoriale non ha pronunciato sul motivo di appello co</w:t>
      </w:r>
      <w:r>
        <w:rPr>
          <w:rFonts w:ascii="Verdana" w:hAnsi="Verdana" w:cs="Verdana"/>
          <w:color w:val="000000"/>
          <w:kern w:val="0"/>
          <w:sz w:val="20"/>
          <w:szCs w:val="20"/>
          <w:shd w:val="clear" w:color="auto" w:fill="FFFFFF"/>
        </w:rPr>
        <w:t>ncernente l'invalidità della Delibera condominiale per mancato rispetto dei termini di convocazione ex art. 66 disp. att. c.c..</w:t>
      </w:r>
    </w:p>
    <w:p w14:paraId="0664F298"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Ciononostante, deve comunque essere valutata la fondatezza dell'assunto che fondava il motivo di impugnazione non esaminato: inf</w:t>
      </w:r>
      <w:r>
        <w:rPr>
          <w:rFonts w:ascii="Verdana" w:hAnsi="Verdana" w:cs="Verdana"/>
          <w:color w:val="000000"/>
          <w:kern w:val="0"/>
          <w:sz w:val="20"/>
          <w:szCs w:val="20"/>
          <w:shd w:val="clear" w:color="auto" w:fill="FFFFFF"/>
        </w:rPr>
        <w:t xml:space="preserve">atti, in caso di infondatezza, sempre che si tratti di questione che non richieda ulteriori accertamenti di fatto, questa Corte, in adempimento della funzione nomofilattica affidatale dall'ordinamento e in applicazione dei principi di economia processuale </w:t>
      </w:r>
      <w:r>
        <w:rPr>
          <w:rFonts w:ascii="Verdana" w:hAnsi="Verdana" w:cs="Verdana"/>
          <w:color w:val="000000"/>
          <w:kern w:val="0"/>
          <w:sz w:val="20"/>
          <w:szCs w:val="20"/>
          <w:shd w:val="clear" w:color="auto" w:fill="FFFFFF"/>
        </w:rPr>
        <w:t>e di ragionevole durata del processo di cui all'art. 111 Cost., comma 2, nonchè di una lettura costituzionalmente orientata dell'attuale art. 384 c.p.c., ispirata a tali principi, ha il potere di correggere la motivazione (Cass., S.U., n. 2731/2017), integ</w:t>
      </w:r>
      <w:r>
        <w:rPr>
          <w:rFonts w:ascii="Verdana" w:hAnsi="Verdana" w:cs="Verdana"/>
          <w:color w:val="000000"/>
          <w:kern w:val="0"/>
          <w:sz w:val="20"/>
          <w:szCs w:val="20"/>
          <w:shd w:val="clear" w:color="auto" w:fill="FFFFFF"/>
        </w:rPr>
        <w:t>rando la decisione di rigetto mediante l'enunciazione delle ragioni di diritto che sostengono il provvedimento opposto, senza necessità di rimettere la causa ad altro giudice perchè dichiari infondato il motivo non esaminato (in ultimo, Sez. 5, Ordinanza n</w:t>
      </w:r>
      <w:r>
        <w:rPr>
          <w:rFonts w:ascii="Verdana" w:hAnsi="Verdana" w:cs="Verdana"/>
          <w:color w:val="000000"/>
          <w:kern w:val="0"/>
          <w:sz w:val="20"/>
          <w:szCs w:val="20"/>
          <w:shd w:val="clear" w:color="auto" w:fill="FFFFFF"/>
        </w:rPr>
        <w:t>. 9693 del 2018).</w:t>
      </w:r>
    </w:p>
    <w:p w14:paraId="69BB5E06"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Ebbene, il motivo di impugnazione era ed è certamente infondato: secondo l'interpretazione costante di questa corte della invocata disposizione dell'art. 66 disp. att. c.c., è vero che ogni condomino ha il diritto di intervenire all'assem</w:t>
      </w:r>
      <w:r>
        <w:rPr>
          <w:rFonts w:ascii="Verdana" w:hAnsi="Verdana" w:cs="Verdana"/>
          <w:color w:val="000000"/>
          <w:kern w:val="0"/>
          <w:sz w:val="20"/>
          <w:szCs w:val="20"/>
          <w:shd w:val="clear" w:color="auto" w:fill="FFFFFF"/>
        </w:rPr>
        <w:t>blea del condominio e deve essere messo in condizione di poterlo fare, per cui è necessario che l'avviso di convocazione sia non solo inviato, ma anche ricevuto nel termine, ivi stabilito, di almeno cinque giorni prima della data fissata per l'adunanza del</w:t>
      </w:r>
      <w:r>
        <w:rPr>
          <w:rFonts w:ascii="Verdana" w:hAnsi="Verdana" w:cs="Verdana"/>
          <w:color w:val="000000"/>
          <w:kern w:val="0"/>
          <w:sz w:val="20"/>
          <w:szCs w:val="20"/>
          <w:shd w:val="clear" w:color="auto" w:fill="FFFFFF"/>
        </w:rPr>
        <w:t>l'assemblea in prima convocazione e che la mancata conoscenza di tale data, da parte dell'avente diritto, entro il termine previsto dalla legge, costituisce motivo di invalidità delle delibere assembleari ex art. 1337 c.c..</w:t>
      </w:r>
    </w:p>
    <w:p w14:paraId="5412FDD8"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E' vero altresì, tuttavia, che l</w:t>
      </w:r>
      <w:r>
        <w:rPr>
          <w:rFonts w:ascii="Verdana" w:hAnsi="Verdana" w:cs="Verdana"/>
          <w:color w:val="000000"/>
          <w:kern w:val="0"/>
          <w:sz w:val="20"/>
          <w:szCs w:val="20"/>
          <w:shd w:val="clear" w:color="auto" w:fill="FFFFFF"/>
        </w:rPr>
        <w:t>'avviso di convocazione, quale atto unilaterale recettizio eminentemente privato, è del tutto svincolato, in assenza di espresse previsioni di legge, dall'applicazione del regime giuridico delle notificazioni degli atti giudiziari, rinviene la propria disc</w:t>
      </w:r>
      <w:r>
        <w:rPr>
          <w:rFonts w:ascii="Verdana" w:hAnsi="Verdana" w:cs="Verdana"/>
          <w:color w:val="000000"/>
          <w:kern w:val="0"/>
          <w:sz w:val="20"/>
          <w:szCs w:val="20"/>
          <w:shd w:val="clear" w:color="auto" w:fill="FFFFFF"/>
        </w:rPr>
        <w:t>iplina nell'art. 1335 c.c., e si presume conosciuto dal convocato se da lui conoscibile e non soltanto se materialmente appreso o effettivamente conosciuto (in ultimo, Sez. 2, Sentenza n. 8275 del 25/03/2019, con richiami e analisi dell'unico precedente pa</w:t>
      </w:r>
      <w:r>
        <w:rPr>
          <w:rFonts w:ascii="Verdana" w:hAnsi="Verdana" w:cs="Verdana"/>
          <w:color w:val="000000"/>
          <w:kern w:val="0"/>
          <w:sz w:val="20"/>
          <w:szCs w:val="20"/>
          <w:shd w:val="clear" w:color="auto" w:fill="FFFFFF"/>
        </w:rPr>
        <w:t>rzialmente difforme, reso tra le stesse parti in altra controversia, in materia, però, di decorrenza dei termini di impugnazione).</w:t>
      </w:r>
    </w:p>
    <w:p w14:paraId="77A1365C"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presunzione di conoscenza ex art. 1335 c.c., degli atti recettizi in forma scritta giunti all'indirizzo del destinatario o</w:t>
      </w:r>
      <w:r>
        <w:rPr>
          <w:rFonts w:ascii="Verdana" w:hAnsi="Verdana" w:cs="Verdana"/>
          <w:color w:val="000000"/>
          <w:kern w:val="0"/>
          <w:sz w:val="20"/>
          <w:szCs w:val="20"/>
          <w:shd w:val="clear" w:color="auto" w:fill="FFFFFF"/>
        </w:rPr>
        <w:t>pera, infatti, per il solo fatto oggettivo dell'arrivo dell'atto nel luogo indicato dalla norma, in mancanza di prova contraria da offrirsi dalla condomina ricorrente.</w:t>
      </w:r>
    </w:p>
    <w:p w14:paraId="7EAF6107"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Dai documenti allegati al ricorso e dalle allegazioni della stessa A.A. in ricorso si ev</w:t>
      </w:r>
      <w:r>
        <w:rPr>
          <w:rFonts w:ascii="Verdana" w:hAnsi="Verdana" w:cs="Verdana"/>
          <w:color w:val="000000"/>
          <w:kern w:val="0"/>
          <w:sz w:val="20"/>
          <w:szCs w:val="20"/>
          <w:shd w:val="clear" w:color="auto" w:fill="FFFFFF"/>
        </w:rPr>
        <w:t>ince che l'avviso di giacenza della raccomandata proveniente dall'amministratore del condominio è stato consegnato al suo indirizzo sin dal 9 settembre 2011, nel rispetto del termine dell'art. 66 disp. att. c.c., con indicazione dell'ufficio di giacenza de</w:t>
      </w:r>
      <w:r>
        <w:rPr>
          <w:rFonts w:ascii="Verdana" w:hAnsi="Verdana" w:cs="Verdana"/>
          <w:color w:val="000000"/>
          <w:kern w:val="0"/>
          <w:sz w:val="20"/>
          <w:szCs w:val="20"/>
          <w:shd w:val="clear" w:color="auto" w:fill="FFFFFF"/>
        </w:rPr>
        <w:t>ll'invio e dell'ufficio di ritiro dopo il decorso di ulteriori 3 giorni; l'avviso di convocazione deve perciò ritenersi tempestivo.</w:t>
      </w:r>
    </w:p>
    <w:p w14:paraId="292A4241"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2.2. Gli ulteriori due motivi di ricorso sono inammissibili per difetto di interesse, atteso che anche l'interesse all'impug</w:t>
      </w:r>
      <w:r>
        <w:rPr>
          <w:rFonts w:ascii="Verdana" w:hAnsi="Verdana" w:cs="Verdana"/>
          <w:color w:val="000000"/>
          <w:kern w:val="0"/>
          <w:sz w:val="20"/>
          <w:szCs w:val="20"/>
          <w:shd w:val="clear" w:color="auto" w:fill="FFFFFF"/>
        </w:rPr>
        <w:t>nazione, in quanto manifestazione del generale principio dell'interesse ad agire - sancito, quanto alla proposizione della domanda ed alla contraddizione alla stessa, dall'art. 100 c.p.c. - deve essere apprezzato in relazione all'utilità concreta derivabil</w:t>
      </w:r>
      <w:r>
        <w:rPr>
          <w:rFonts w:ascii="Verdana" w:hAnsi="Verdana" w:cs="Verdana"/>
          <w:color w:val="000000"/>
          <w:kern w:val="0"/>
          <w:sz w:val="20"/>
          <w:szCs w:val="20"/>
          <w:shd w:val="clear" w:color="auto" w:fill="FFFFFF"/>
        </w:rPr>
        <w:t>e alla parte dall'eventuale accoglimento del gravame e non può consistere in un mero interesse astratto ad una più corretta soluzione di una questione giuridica, non avente riflessi sulla decisione adottata; conseguentemente, è inammissibile, per difetto d</w:t>
      </w:r>
      <w:r>
        <w:rPr>
          <w:rFonts w:ascii="Verdana" w:hAnsi="Verdana" w:cs="Verdana"/>
          <w:color w:val="000000"/>
          <w:kern w:val="0"/>
          <w:sz w:val="20"/>
          <w:szCs w:val="20"/>
          <w:shd w:val="clear" w:color="auto" w:fill="FFFFFF"/>
        </w:rPr>
        <w:t xml:space="preserve">'interesse, un'impugnazione con la quale si deduca la violazione di norme giuridiche, sostanziali o processuali, che non spieghi alcuna influenza in relazione alle domande o eccezioni proposte e che sia diretta quindi all'emanazione di una pronuncia priva </w:t>
      </w:r>
      <w:r>
        <w:rPr>
          <w:rFonts w:ascii="Verdana" w:hAnsi="Verdana" w:cs="Verdana"/>
          <w:color w:val="000000"/>
          <w:kern w:val="0"/>
          <w:sz w:val="20"/>
          <w:szCs w:val="20"/>
          <w:shd w:val="clear" w:color="auto" w:fill="FFFFFF"/>
        </w:rPr>
        <w:t>di rilievo pratico (Sez. 2 -, Sentenza n. 28307 del 11/12/2020).</w:t>
      </w:r>
    </w:p>
    <w:p w14:paraId="553C8311"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3. Il ricorso deve perciò essere comunque rigettato, con integrazione della motivazione ex art. 384 c.p.c..</w:t>
      </w:r>
    </w:p>
    <w:p w14:paraId="0D7CF9A5"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Non vi è luogo a statuizione sulle spese perchè gli intimati non hanno svolto difes</w:t>
      </w:r>
      <w:r>
        <w:rPr>
          <w:rFonts w:ascii="Verdana" w:hAnsi="Verdana" w:cs="Verdana"/>
          <w:color w:val="000000"/>
          <w:kern w:val="0"/>
          <w:sz w:val="20"/>
          <w:szCs w:val="20"/>
          <w:shd w:val="clear" w:color="auto" w:fill="FFFFFF"/>
        </w:rPr>
        <w:t>e.</w:t>
      </w:r>
    </w:p>
    <w:p w14:paraId="0E81F9F3"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Dal rigetto del ricorso deriva altresì l'obbligo della ricorrente non vittoriosa di versare un ulteriore importo a titolo di contributo unificato come previsto dal D.P.R. n. 115 del 2002, art. 13, comma 1-quater, nel testo introdotto dalla L. n. 228 del</w:t>
      </w:r>
      <w:r>
        <w:rPr>
          <w:rFonts w:ascii="Verdana" w:hAnsi="Verdana" w:cs="Verdana"/>
          <w:color w:val="000000"/>
          <w:kern w:val="0"/>
          <w:sz w:val="20"/>
          <w:szCs w:val="20"/>
          <w:shd w:val="clear" w:color="auto" w:fill="FFFFFF"/>
        </w:rPr>
        <w:t xml:space="preserve"> 2012, art. 1, comma 17, ove dovuto.</w:t>
      </w:r>
    </w:p>
    <w:p w14:paraId="2B5E8BF0" w14:textId="77777777" w:rsidR="00BC4DBA" w:rsidRDefault="00BC4DBA">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P.Q.M.</w:t>
      </w:r>
    </w:p>
    <w:p w14:paraId="652B338D"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Corte rigetta il ricorso.</w:t>
      </w:r>
    </w:p>
    <w:p w14:paraId="45659F5C"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Ai sensi del D.P.R. n. 115 del 2002, art. 13, comma 1 quater, dà atto della sussistenza dei presupposti </w:t>
      </w:r>
      <w:r>
        <w:rPr>
          <w:rFonts w:ascii="Verdana" w:hAnsi="Verdana" w:cs="Verdana"/>
          <w:color w:val="000000"/>
          <w:kern w:val="0"/>
          <w:sz w:val="20"/>
          <w:szCs w:val="20"/>
          <w:shd w:val="clear" w:color="auto" w:fill="FFFFFF"/>
        </w:rPr>
        <w:lastRenderedPageBreak/>
        <w:t>processuali per il versamento, da parte della ricorrente, di un ulteriore impor</w:t>
      </w:r>
      <w:r>
        <w:rPr>
          <w:rFonts w:ascii="Verdana" w:hAnsi="Verdana" w:cs="Verdana"/>
          <w:color w:val="000000"/>
          <w:kern w:val="0"/>
          <w:sz w:val="20"/>
          <w:szCs w:val="20"/>
          <w:shd w:val="clear" w:color="auto" w:fill="FFFFFF"/>
        </w:rPr>
        <w:t>to a titolo di contributo unificato pari a quello previsto per il ricorso, a norma dello stesso art. 13, comma 1 bis, se dovuto.</w:t>
      </w:r>
    </w:p>
    <w:p w14:paraId="669F5EEA"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Così deciso in Roma, nella Camera di consiglio della Sezione Seconda Civile della Corte Suprema di Cassazione, il 3 maggio 2022</w:t>
      </w:r>
      <w:r>
        <w:rPr>
          <w:rFonts w:ascii="Verdana" w:hAnsi="Verdana" w:cs="Verdana"/>
          <w:color w:val="000000"/>
          <w:kern w:val="0"/>
          <w:sz w:val="20"/>
          <w:szCs w:val="20"/>
          <w:shd w:val="clear" w:color="auto" w:fill="FFFFFF"/>
        </w:rPr>
        <w:t>.</w:t>
      </w:r>
    </w:p>
    <w:p w14:paraId="0B0936B0" w14:textId="77777777" w:rsidR="00BC4DBA" w:rsidRDefault="00BC4DBA">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Depositato in Cancelleria il 13 dicembre 2022</w:t>
      </w:r>
    </w:p>
    <w:p w14:paraId="7B83C531" w14:textId="77777777" w:rsidR="00BC4DBA" w:rsidRDefault="00BC4DBA">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0930DF0B" w14:textId="77777777" w:rsidR="00BC4DBA" w:rsidRDefault="00BC4DBA">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32E94E63" w14:textId="77777777" w:rsidR="00BC4DBA" w:rsidRDefault="00BC4DBA">
      <w:pPr>
        <w:widowControl w:val="0"/>
        <w:autoSpaceDE w:val="0"/>
        <w:autoSpaceDN w:val="0"/>
        <w:adjustRightInd w:val="0"/>
        <w:spacing w:after="0" w:line="200" w:lineRule="atLeast"/>
        <w:rPr>
          <w:rFonts w:ascii="Times New Roman" w:hAnsi="Times New Roman" w:cs="Times New Roman"/>
          <w:color w:val="000000"/>
          <w:kern w:val="0"/>
          <w:sz w:val="2"/>
          <w:szCs w:val="2"/>
          <w:shd w:val="clear" w:color="auto" w:fill="FFFFFF"/>
        </w:rPr>
      </w:pPr>
    </w:p>
    <w:sectPr w:rsidR="00000000">
      <w:headerReference w:type="default" r:id="rId6"/>
      <w:footerReference w:type="default" r:id="rId7"/>
      <w:pgSz w:w="11907" w:h="16840"/>
      <w:pgMar w:top="1134" w:right="567" w:bottom="1134"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4A9D" w14:textId="77777777" w:rsidR="00BC4DBA" w:rsidRDefault="00BC4DBA">
      <w:pPr>
        <w:spacing w:after="0" w:line="240" w:lineRule="auto"/>
      </w:pPr>
      <w:r>
        <w:separator/>
      </w:r>
    </w:p>
  </w:endnote>
  <w:endnote w:type="continuationSeparator" w:id="0">
    <w:p w14:paraId="089B1CCB" w14:textId="77777777" w:rsidR="00BC4DBA" w:rsidRDefault="00BC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1134"/>
      <w:gridCol w:w="8505"/>
      <w:gridCol w:w="1134"/>
    </w:tblGrid>
    <w:tr w:rsidR="00000000" w14:paraId="18624AA9" w14:textId="77777777">
      <w:tblPrEx>
        <w:tblCellMar>
          <w:top w:w="0" w:type="dxa"/>
          <w:left w:w="0" w:type="dxa"/>
          <w:bottom w:w="0" w:type="dxa"/>
          <w:right w:w="0" w:type="dxa"/>
        </w:tblCellMar>
      </w:tblPrEx>
      <w:trPr>
        <w:jc w:val="center"/>
      </w:trPr>
      <w:tc>
        <w:tcPr>
          <w:tcW w:w="1134" w:type="dxa"/>
          <w:tcBorders>
            <w:top w:val="nil"/>
            <w:left w:val="nil"/>
            <w:bottom w:val="nil"/>
            <w:right w:val="nil"/>
          </w:tcBorders>
          <w:vAlign w:val="center"/>
        </w:tcPr>
        <w:p w14:paraId="6B00106D" w14:textId="77777777" w:rsidR="00BC4DBA" w:rsidRDefault="00BC4DBA">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tc>
      <w:tc>
        <w:tcPr>
          <w:tcW w:w="8505" w:type="dxa"/>
          <w:tcBorders>
            <w:top w:val="nil"/>
            <w:left w:val="nil"/>
            <w:bottom w:val="nil"/>
            <w:right w:val="nil"/>
          </w:tcBorders>
          <w:vAlign w:val="center"/>
        </w:tcPr>
        <w:p w14:paraId="7C8323A0" w14:textId="77777777" w:rsidR="00BC4DBA" w:rsidRDefault="00BC4DBA">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p w14:paraId="4DFA9F0B" w14:textId="77777777" w:rsidR="00BC4DBA" w:rsidRDefault="00BC4DBA">
          <w:pPr>
            <w:widowControl w:val="0"/>
            <w:autoSpaceDE w:val="0"/>
            <w:autoSpaceDN w:val="0"/>
            <w:adjustRightInd w:val="0"/>
            <w:spacing w:after="0" w:line="240" w:lineRule="auto"/>
            <w:jc w:val="center"/>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Copyright 2023 Wolters Kluwer Italia Srl - Tutti i diritti riservati</w:t>
          </w:r>
        </w:p>
        <w:p w14:paraId="22B454D2" w14:textId="77777777" w:rsidR="00BC4DBA" w:rsidRDefault="00BC4DBA">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tc>
      <w:tc>
        <w:tcPr>
          <w:tcW w:w="1134" w:type="dxa"/>
          <w:tcBorders>
            <w:top w:val="nil"/>
            <w:left w:val="nil"/>
            <w:bottom w:val="nil"/>
            <w:right w:val="nil"/>
          </w:tcBorders>
          <w:vAlign w:val="center"/>
        </w:tcPr>
        <w:p w14:paraId="7B26BE5F" w14:textId="77777777" w:rsidR="00BC4DBA" w:rsidRDefault="00BC4DBA">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pgNum/>
          </w:r>
        </w:p>
      </w:tc>
    </w:tr>
  </w:tbl>
  <w:p w14:paraId="0DD6EA86" w14:textId="77777777" w:rsidR="00BC4DBA" w:rsidRDefault="00BC4DBA">
    <w:pPr>
      <w:widowControl w:val="0"/>
      <w:autoSpaceDE w:val="0"/>
      <w:autoSpaceDN w:val="0"/>
      <w:adjustRightInd w:val="0"/>
      <w:spacing w:after="0" w:line="240" w:lineRule="auto"/>
      <w:rPr>
        <w:rFonts w:ascii="Times New Roman" w:hAnsi="Times New Roman" w:cs="Times New Roman"/>
        <w:color w:val="808080"/>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F7F1" w14:textId="77777777" w:rsidR="00BC4DBA" w:rsidRDefault="00BC4DBA">
      <w:pPr>
        <w:spacing w:after="0" w:line="240" w:lineRule="auto"/>
      </w:pPr>
      <w:r>
        <w:separator/>
      </w:r>
    </w:p>
  </w:footnote>
  <w:footnote w:type="continuationSeparator" w:id="0">
    <w:p w14:paraId="1CAAABD9" w14:textId="77777777" w:rsidR="00BC4DBA" w:rsidRDefault="00BC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A62" w14:textId="77777777" w:rsidR="00BC4DBA" w:rsidRDefault="00BC4DBA">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pict w14:anchorId="2DA9E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0pt;height:51pt">
          <v:imagedata r:id="rId1" o:title=""/>
        </v:shape>
      </w:pict>
    </w:r>
  </w:p>
  <w:p w14:paraId="5E43B64F" w14:textId="77777777" w:rsidR="00BC4DBA" w:rsidRDefault="00BC4DBA">
    <w:pPr>
      <w:widowControl w:val="0"/>
      <w:autoSpaceDE w:val="0"/>
      <w:autoSpaceDN w:val="0"/>
      <w:adjustRightInd w:val="0"/>
      <w:spacing w:after="0" w:line="240" w:lineRule="auto"/>
      <w:rPr>
        <w:rFonts w:ascii="Times New Roman" w:hAnsi="Times New Roman" w:cs="Times New Roman"/>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4DBA"/>
    <w:rsid w:val="00BC4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CF24"/>
  <w14:defaultImageDpi w14:val="0"/>
  <w15:docId w15:val="{76613D98-A629-4F88-B840-A2DBE5D4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Italia Srl</dc:creator>
  <cp:keywords/>
  <dc:description/>
  <cp:lastModifiedBy>Pietro Serini</cp:lastModifiedBy>
  <cp:revision>2</cp:revision>
  <dcterms:created xsi:type="dcterms:W3CDTF">2023-10-01T21:37:00Z</dcterms:created>
  <dcterms:modified xsi:type="dcterms:W3CDTF">2023-10-01T21:37:00Z</dcterms:modified>
</cp:coreProperties>
</file>